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5882B99C"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E87CB1">
        <w:rPr>
          <w:rFonts w:ascii="Arial" w:hAnsi="Arial" w:cs="Arial"/>
          <w:b/>
          <w:sz w:val="22"/>
          <w:szCs w:val="24"/>
        </w:rPr>
        <w:t>1</w:t>
      </w:r>
      <w:r w:rsidRPr="00243B51">
        <w:rPr>
          <w:rFonts w:ascii="Arial" w:hAnsi="Arial" w:cs="Arial"/>
          <w:b/>
          <w:sz w:val="22"/>
          <w:szCs w:val="24"/>
        </w:rPr>
        <w:tab/>
      </w:r>
      <w:r w:rsidR="00542458" w:rsidRPr="00542458">
        <w:rPr>
          <w:rFonts w:ascii="Arial" w:hAnsi="Arial" w:cs="Arial"/>
          <w:b/>
          <w:sz w:val="22"/>
          <w:szCs w:val="24"/>
        </w:rPr>
        <w:t>R1-</w:t>
      </w:r>
      <w:r w:rsidR="00632594" w:rsidRPr="00632594">
        <w:t xml:space="preserve"> </w:t>
      </w:r>
      <w:r w:rsidR="00632594" w:rsidRPr="00632594">
        <w:rPr>
          <w:rFonts w:ascii="Arial" w:hAnsi="Arial" w:cs="Arial"/>
          <w:b/>
          <w:sz w:val="22"/>
          <w:szCs w:val="24"/>
        </w:rPr>
        <w:t>2004468</w:t>
      </w:r>
    </w:p>
    <w:p w14:paraId="11D9F0EF" w14:textId="5F856D1D"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E87CB1" w:rsidRPr="00A42435">
        <w:rPr>
          <w:rFonts w:cs="Arial"/>
          <w:i w:val="0"/>
          <w:sz w:val="22"/>
          <w:szCs w:val="24"/>
        </w:rPr>
        <w:t>May 25</w:t>
      </w:r>
      <w:r w:rsidR="00E87CB1" w:rsidRPr="00A42435">
        <w:rPr>
          <w:rFonts w:cs="Arial"/>
          <w:i w:val="0"/>
          <w:sz w:val="22"/>
          <w:szCs w:val="24"/>
          <w:vertAlign w:val="superscript"/>
        </w:rPr>
        <w:t>th</w:t>
      </w:r>
      <w:r w:rsidR="00E87CB1" w:rsidRPr="00A42435">
        <w:rPr>
          <w:rFonts w:cs="Arial"/>
          <w:i w:val="0"/>
          <w:sz w:val="22"/>
          <w:szCs w:val="24"/>
        </w:rPr>
        <w:t xml:space="preserve"> – </w:t>
      </w:r>
      <w:r w:rsidR="00EA2768">
        <w:rPr>
          <w:rFonts w:cs="Arial"/>
          <w:i w:val="0"/>
          <w:sz w:val="22"/>
          <w:szCs w:val="24"/>
        </w:rPr>
        <w:t>June 5</w:t>
      </w:r>
      <w:r w:rsidR="00E87CB1" w:rsidRPr="00A42435">
        <w:rPr>
          <w:rFonts w:cs="Arial"/>
          <w:i w:val="0"/>
          <w:sz w:val="22"/>
          <w:szCs w:val="24"/>
          <w:vertAlign w:val="superscript"/>
        </w:rPr>
        <w:t>th</w:t>
      </w:r>
      <w:r w:rsidR="00E87CB1" w:rsidRPr="00A42435">
        <w:rPr>
          <w:rFonts w:cs="Arial"/>
          <w:i w:val="0"/>
          <w:sz w:val="22"/>
          <w:szCs w:val="24"/>
        </w:rPr>
        <w:t>, 2020</w:t>
      </w:r>
    </w:p>
    <w:p w14:paraId="3A0CB384" w14:textId="52228876" w:rsidR="00BC335A" w:rsidRPr="00F85496" w:rsidRDefault="00BC335A" w:rsidP="00184658">
      <w:pPr>
        <w:pStyle w:val="Footer"/>
        <w:jc w:val="both"/>
        <w:rPr>
          <w:rFonts w:cs="Arial"/>
          <w:i w:val="0"/>
          <w:sz w:val="24"/>
          <w:szCs w:val="24"/>
        </w:rPr>
      </w:pPr>
    </w:p>
    <w:p w14:paraId="00A480DC" w14:textId="4F7A133E"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12358" w:rsidRPr="00212358">
        <w:rPr>
          <w:rFonts w:ascii="Arial" w:hAnsi="Arial"/>
          <w:sz w:val="22"/>
        </w:rPr>
        <w:t>7.2.7.2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3F7C9959"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C25C46" w:rsidRPr="00C25C46">
        <w:rPr>
          <w:rFonts w:ascii="Arial" w:hAnsi="Arial"/>
          <w:sz w:val="22"/>
        </w:rPr>
        <w:t>Remaining issues in cross-slot scheduling power saving</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60F76109" w:rsidR="00B20DC9" w:rsidRDefault="008F724C" w:rsidP="00B20DC9">
      <w:pPr>
        <w:jc w:val="both"/>
      </w:pPr>
      <w:r w:rsidRPr="008F724C">
        <w:t xml:space="preserve">RAN1 has </w:t>
      </w:r>
      <w:r w:rsidR="00B5258B">
        <w:t>completed</w:t>
      </w:r>
      <w:r w:rsidRPr="008F724C">
        <w:t xml:space="preserve"> Rel-16 UE power saving work item and the agreements from RAN1 #96bis through #99 have been captured in the corresponding Rel-16 technical specification documents. There are nevertheless some issues that either have not been fully covered or need further </w:t>
      </w:r>
      <w:r w:rsidR="00353142">
        <w:t>discussion</w:t>
      </w:r>
      <w:r w:rsidR="00FF5320">
        <w:t xml:space="preserve"> </w:t>
      </w:r>
      <w:r w:rsidR="00353142">
        <w:fldChar w:fldCharType="begin"/>
      </w:r>
      <w:r w:rsidR="00353142">
        <w:instrText xml:space="preserve"> REF _Ref21085748 \r \h </w:instrText>
      </w:r>
      <w:r w:rsidR="00353142">
        <w:fldChar w:fldCharType="separate"/>
      </w:r>
      <w:r w:rsidR="000E7CB9">
        <w:t>[1]</w:t>
      </w:r>
      <w:r w:rsidR="00353142">
        <w:fldChar w:fldCharType="end"/>
      </w:r>
      <w:r w:rsidR="00353142">
        <w:fldChar w:fldCharType="begin"/>
      </w:r>
      <w:r w:rsidR="00353142">
        <w:instrText xml:space="preserve"> REF _Ref21099359 \r \h </w:instrText>
      </w:r>
      <w:r w:rsidR="00353142">
        <w:fldChar w:fldCharType="separate"/>
      </w:r>
      <w:r w:rsidR="000E7CB9">
        <w:t>[2]</w:t>
      </w:r>
      <w:r w:rsidR="00353142">
        <w:fldChar w:fldCharType="end"/>
      </w:r>
      <w:r w:rsidR="00FF5320">
        <w:t>.</w:t>
      </w:r>
    </w:p>
    <w:p w14:paraId="186ADD5E" w14:textId="54262034" w:rsidR="00744674" w:rsidRDefault="0011460A">
      <w:pPr>
        <w:jc w:val="both"/>
      </w:pPr>
      <w:r w:rsidRPr="00F85496">
        <w:t xml:space="preserve">In this contribution, </w:t>
      </w:r>
      <w:r w:rsidR="00353142">
        <w:t xml:space="preserve">several important </w:t>
      </w:r>
      <w:r w:rsidR="00CC401B">
        <w:t xml:space="preserve">remaining issues </w:t>
      </w:r>
      <w:r w:rsidR="00353142">
        <w:t xml:space="preserve">in our view </w:t>
      </w:r>
      <w:r w:rsidR="00CC401B">
        <w:t>will be discussed</w:t>
      </w:r>
      <w:r w:rsidR="00166678">
        <w:t>, and TP will be provided for the proposals.</w:t>
      </w:r>
    </w:p>
    <w:p w14:paraId="693166EF" w14:textId="4129C427" w:rsidR="00CB7240" w:rsidRDefault="006220A5" w:rsidP="00887B71">
      <w:pPr>
        <w:pStyle w:val="Heading1"/>
        <w:rPr>
          <w:lang w:val="en-US"/>
        </w:rPr>
      </w:pPr>
      <w:r>
        <w:rPr>
          <w:lang w:val="en-US"/>
        </w:rPr>
        <w:t>Remaining issues for further clarification</w:t>
      </w:r>
    </w:p>
    <w:p w14:paraId="0B7FAB9E" w14:textId="7D76331D" w:rsidR="000024E7" w:rsidRDefault="000024E7" w:rsidP="000024E7">
      <w:pPr>
        <w:pStyle w:val="Heading2"/>
      </w:pPr>
      <w:r>
        <w:t>Application delay definition if minimum K0 is not configured</w:t>
      </w:r>
    </w:p>
    <w:p w14:paraId="5742D10F" w14:textId="1B3BD0DA" w:rsidR="000024E7" w:rsidRDefault="000024E7" w:rsidP="00811D49">
      <w:pPr>
        <w:jc w:val="both"/>
        <w:rPr>
          <w:lang w:val="en-GB"/>
        </w:rPr>
      </w:pPr>
      <w:r>
        <w:rPr>
          <w:lang w:val="en-GB"/>
        </w:rPr>
        <w:t>It is agreed that the application delay is determined based on the minimum K0 (</w:t>
      </w:r>
      <m:oMath>
        <m:sSub>
          <m:sSubPr>
            <m:ctrlPr>
              <w:rPr>
                <w:rFonts w:ascii="Cambria Math" w:hAnsi="Cambria Math"/>
                <w:i/>
              </w:rPr>
            </m:ctrlPr>
          </m:sSubPr>
          <m:e>
            <m:r>
              <w:rPr>
                <w:rFonts w:ascii="Cambria Math" w:hAnsi="Cambria Math"/>
              </w:rPr>
              <m:t>K</m:t>
            </m:r>
          </m:e>
          <m:sub>
            <m:r>
              <w:rPr>
                <w:rFonts w:ascii="Cambria Math" w:hAnsi="Cambria Math"/>
              </w:rPr>
              <m:t>0minOld</m:t>
            </m:r>
          </m:sub>
        </m:sSub>
      </m:oMath>
      <w:r>
        <w:rPr>
          <w:lang w:val="en-GB"/>
        </w:rPr>
        <w:t>). While in most usage scenarios for the feature, we expected that minimum K0 would be configured in all of the DL BWP, there could be a corner case scenario where the minimum K0 is not configured for DL BWP which becomes the active BWP. In this case, if minimum K2 is configured and dynamic change of minimum K2 should be supported, the application delay is undefined based on the current specification.</w:t>
      </w:r>
    </w:p>
    <w:p w14:paraId="6DFF8D68" w14:textId="39B6D99D" w:rsidR="00A71E51" w:rsidRDefault="000024E7" w:rsidP="00811D49">
      <w:pPr>
        <w:jc w:val="both"/>
        <w:rPr>
          <w:lang w:val="en-GB"/>
        </w:rPr>
      </w:pPr>
      <w:r>
        <w:rPr>
          <w:lang w:val="en-GB"/>
        </w:rPr>
        <w:t>In our view, the fix for this corner case is simple</w:t>
      </w:r>
      <w:r w:rsidR="00A71E51">
        <w:rPr>
          <w:lang w:val="en-GB"/>
        </w:rPr>
        <w:t>:</w:t>
      </w:r>
    </w:p>
    <w:p w14:paraId="1511310A" w14:textId="0EE8E07C" w:rsidR="00A71E51" w:rsidRDefault="00A71E51" w:rsidP="00811D49">
      <w:pPr>
        <w:pStyle w:val="Caption"/>
        <w:jc w:val="both"/>
        <w:rPr>
          <w:lang w:val="en-GB"/>
        </w:rPr>
      </w:pPr>
      <w:bookmarkStart w:id="1" w:name="_Toc32572270"/>
      <w:bookmarkStart w:id="2" w:name="_Toc40464605"/>
      <w:r>
        <w:t xml:space="preserve">Proposal </w:t>
      </w:r>
      <w:r w:rsidR="00FD2916">
        <w:fldChar w:fldCharType="begin"/>
      </w:r>
      <w:r w:rsidR="00FD2916">
        <w:instrText xml:space="preserve"> SEQ Proposal \*</w:instrText>
      </w:r>
      <w:r w:rsidR="00FD2916">
        <w:instrText xml:space="preserve"> ARABIC </w:instrText>
      </w:r>
      <w:r w:rsidR="00FD2916">
        <w:fldChar w:fldCharType="separate"/>
      </w:r>
      <w:r w:rsidR="000E7CB9">
        <w:rPr>
          <w:noProof/>
        </w:rPr>
        <w:t>1</w:t>
      </w:r>
      <w:r w:rsidR="00FD2916">
        <w:rPr>
          <w:noProof/>
        </w:rPr>
        <w:fldChar w:fldCharType="end"/>
      </w:r>
      <w:r>
        <w:t xml:space="preserve">: </w:t>
      </w:r>
      <w:r>
        <w:rPr>
          <w:lang w:val="en-GB"/>
        </w:rPr>
        <w:t xml:space="preserve">For application delay determination, if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m:t>
            </m:r>
          </m:sub>
        </m:sSub>
      </m:oMath>
      <w:r>
        <w:rPr>
          <w:lang w:val="en-GB"/>
        </w:rPr>
        <w:t xml:space="preserve"> is not configured for the currently active DL BWP,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minOld</m:t>
            </m:r>
          </m:sub>
        </m:sSub>
        <m:r>
          <m:rPr>
            <m:sty m:val="bi"/>
          </m:rPr>
          <w:rPr>
            <w:rFonts w:ascii="Cambria Math" w:hAnsi="Cambria Math"/>
          </w:rPr>
          <m:t>=0</m:t>
        </m:r>
      </m:oMath>
      <w:r>
        <w:rPr>
          <w:lang w:val="en-GB"/>
        </w:rPr>
        <w:t xml:space="preserve"> is assumed in the expression for application delay determination.</w:t>
      </w:r>
      <w:bookmarkEnd w:id="1"/>
      <w:bookmarkEnd w:id="2"/>
    </w:p>
    <w:p w14:paraId="24070D88" w14:textId="25C4F8A2" w:rsidR="00221127" w:rsidRPr="00B20DC9" w:rsidRDefault="00221127" w:rsidP="00221127">
      <w:pPr>
        <w:jc w:val="both"/>
      </w:pPr>
      <w:r>
        <w:t>A TP implementing the above proposal is presented in the Appendix section.</w:t>
      </w:r>
    </w:p>
    <w:p w14:paraId="13D72BEB" w14:textId="77777777" w:rsidR="00DD52EB" w:rsidRPr="0042446E" w:rsidRDefault="00DD52EB"/>
    <w:p w14:paraId="34F125CC" w14:textId="6C7D396D" w:rsidR="00374C61" w:rsidRDefault="004A0974" w:rsidP="00374C61">
      <w:pPr>
        <w:pStyle w:val="Heading2"/>
      </w:pPr>
      <w:r>
        <w:t>UE suggested values for minimum scheduling offsets</w:t>
      </w:r>
    </w:p>
    <w:p w14:paraId="7B6223C0" w14:textId="77777777" w:rsidR="00374C61" w:rsidRDefault="00374C61" w:rsidP="00374C61">
      <w:pPr>
        <w:jc w:val="both"/>
      </w:pPr>
      <w:r>
        <w:t>In RAN1 #99, the following agreement related to the suggested values by the UE is agreed:</w:t>
      </w:r>
    </w:p>
    <w:tbl>
      <w:tblPr>
        <w:tblStyle w:val="TableGrid"/>
        <w:tblW w:w="0" w:type="auto"/>
        <w:tblLook w:val="04A0" w:firstRow="1" w:lastRow="0" w:firstColumn="1" w:lastColumn="0" w:noHBand="0" w:noVBand="1"/>
      </w:tblPr>
      <w:tblGrid>
        <w:gridCol w:w="9962"/>
      </w:tblGrid>
      <w:tr w:rsidR="00374C61" w14:paraId="179F685C" w14:textId="77777777" w:rsidTr="00FB776C">
        <w:tc>
          <w:tcPr>
            <w:tcW w:w="9962" w:type="dxa"/>
          </w:tcPr>
          <w:p w14:paraId="7F02754E" w14:textId="77777777" w:rsidR="00374C61" w:rsidRDefault="00374C61" w:rsidP="00874704">
            <w:pPr>
              <w:spacing w:before="0" w:after="0"/>
              <w:rPr>
                <w:lang w:eastAsia="x-none"/>
              </w:rPr>
            </w:pPr>
            <w:r>
              <w:rPr>
                <w:highlight w:val="green"/>
                <w:lang w:eastAsia="x-none"/>
              </w:rPr>
              <w:t>Agreements</w:t>
            </w:r>
            <w:r>
              <w:rPr>
                <w:lang w:eastAsia="x-none"/>
              </w:rPr>
              <w:t>:</w:t>
            </w:r>
          </w:p>
          <w:p w14:paraId="1C5B3B95" w14:textId="77777777" w:rsidR="00374C61" w:rsidRDefault="00374C61" w:rsidP="00874704">
            <w:pPr>
              <w:pStyle w:val="Caption"/>
              <w:numPr>
                <w:ilvl w:val="0"/>
                <w:numId w:val="41"/>
              </w:numPr>
              <w:overflowPunct/>
              <w:autoSpaceDE/>
              <w:adjustRightInd/>
              <w:spacing w:before="0" w:after="0"/>
              <w:ind w:left="1160"/>
              <w:textAlignment w:val="auto"/>
              <w:rPr>
                <w:rFonts w:ascii="Calibri" w:hAnsi="Calibri"/>
                <w:b w:val="0"/>
                <w:bCs w:val="0"/>
              </w:rPr>
            </w:pPr>
            <w:r>
              <w:rPr>
                <w:b w:val="0"/>
                <w:lang w:eastAsia="x-none"/>
              </w:rPr>
              <w:t xml:space="preserve">For </w:t>
            </w:r>
            <w:r>
              <w:rPr>
                <w:rFonts w:ascii="Calibri" w:hAnsi="Calibri"/>
                <w:b w:val="0"/>
              </w:rPr>
              <w:t>K0/K2 under same-carrier scheduling, possible suggested values by the UE are:</w:t>
            </w:r>
          </w:p>
          <w:p w14:paraId="73097B8C" w14:textId="77777777" w:rsidR="00374C61" w:rsidRDefault="00374C61" w:rsidP="00874704">
            <w:pPr>
              <w:pStyle w:val="Caption"/>
              <w:numPr>
                <w:ilvl w:val="1"/>
                <w:numId w:val="41"/>
              </w:numPr>
              <w:overflowPunct/>
              <w:autoSpaceDE/>
              <w:adjustRightInd/>
              <w:spacing w:before="0" w:after="0"/>
              <w:ind w:left="1160"/>
              <w:textAlignment w:val="auto"/>
              <w:rPr>
                <w:rFonts w:ascii="Calibri" w:hAnsi="Calibri"/>
                <w:b w:val="0"/>
                <w:bCs w:val="0"/>
              </w:rPr>
            </w:pPr>
            <w:r>
              <w:rPr>
                <w:rFonts w:ascii="Calibri" w:hAnsi="Calibri"/>
                <w:b w:val="0"/>
              </w:rPr>
              <w:t>15kHz/30kHz SCS: {1, 2, 4, 6} slots</w:t>
            </w:r>
          </w:p>
          <w:p w14:paraId="4DD5A172" w14:textId="77777777" w:rsidR="00374C61" w:rsidRPr="00A77B5E" w:rsidRDefault="00374C61" w:rsidP="00874704">
            <w:pPr>
              <w:pStyle w:val="Caption"/>
              <w:numPr>
                <w:ilvl w:val="1"/>
                <w:numId w:val="41"/>
              </w:numPr>
              <w:overflowPunct/>
              <w:autoSpaceDE/>
              <w:adjustRightInd/>
              <w:spacing w:before="0"/>
              <w:ind w:left="1166"/>
              <w:textAlignment w:val="auto"/>
              <w:rPr>
                <w:rFonts w:ascii="Calibri" w:hAnsi="Calibri"/>
                <w:b w:val="0"/>
                <w:bCs w:val="0"/>
              </w:rPr>
            </w:pPr>
            <w:r>
              <w:rPr>
                <w:rFonts w:ascii="Calibri" w:hAnsi="Calibri"/>
                <w:b w:val="0"/>
              </w:rPr>
              <w:t>60kHz/120kHz SCS: {2, 4, 8, 12} slots</w:t>
            </w:r>
          </w:p>
        </w:tc>
      </w:tr>
    </w:tbl>
    <w:p w14:paraId="381E0698" w14:textId="77777777" w:rsidR="00374C61" w:rsidRDefault="00374C61" w:rsidP="00874704">
      <w:pPr>
        <w:spacing w:before="120"/>
        <w:jc w:val="both"/>
      </w:pPr>
      <w:r>
        <w:t>Also, the range for the range of configured minimum scheduling offset is agreed:</w:t>
      </w:r>
    </w:p>
    <w:tbl>
      <w:tblPr>
        <w:tblStyle w:val="TableGrid"/>
        <w:tblW w:w="0" w:type="auto"/>
        <w:tblLook w:val="04A0" w:firstRow="1" w:lastRow="0" w:firstColumn="1" w:lastColumn="0" w:noHBand="0" w:noVBand="1"/>
      </w:tblPr>
      <w:tblGrid>
        <w:gridCol w:w="9962"/>
      </w:tblGrid>
      <w:tr w:rsidR="00374C61" w14:paraId="2FDB521F" w14:textId="77777777" w:rsidTr="00FB776C">
        <w:tc>
          <w:tcPr>
            <w:tcW w:w="9962" w:type="dxa"/>
          </w:tcPr>
          <w:p w14:paraId="72EFD653" w14:textId="77777777" w:rsidR="00374C61" w:rsidRDefault="00374C61" w:rsidP="00874704">
            <w:pPr>
              <w:spacing w:before="0" w:after="0"/>
              <w:rPr>
                <w:lang w:eastAsia="x-none"/>
              </w:rPr>
            </w:pPr>
            <w:r>
              <w:rPr>
                <w:highlight w:val="green"/>
                <w:lang w:eastAsia="x-none"/>
              </w:rPr>
              <w:t>Agreements</w:t>
            </w:r>
            <w:r>
              <w:rPr>
                <w:lang w:eastAsia="x-none"/>
              </w:rPr>
              <w:t>:</w:t>
            </w:r>
          </w:p>
          <w:p w14:paraId="75FE1793" w14:textId="77777777" w:rsidR="00374C61" w:rsidRPr="00C53F1D" w:rsidRDefault="00374C61" w:rsidP="00874704">
            <w:pPr>
              <w:numPr>
                <w:ilvl w:val="0"/>
                <w:numId w:val="41"/>
              </w:numPr>
              <w:overflowPunct/>
              <w:autoSpaceDE/>
              <w:autoSpaceDN/>
              <w:adjustRightInd/>
              <w:spacing w:before="0"/>
              <w:textAlignment w:val="auto"/>
              <w:rPr>
                <w:rFonts w:ascii="Calibri" w:hAnsi="Calibri"/>
              </w:rPr>
            </w:pPr>
            <w:r>
              <w:rPr>
                <w:rFonts w:ascii="Calibri" w:hAnsi="Calibri"/>
              </w:rPr>
              <w:t>For the RRC configuration, the configured minimum applicable K0/K2 value(s) take integer value(s) in the range from 0 to 16 slots.</w:t>
            </w:r>
          </w:p>
        </w:tc>
      </w:tr>
    </w:tbl>
    <w:p w14:paraId="3F3DAB05" w14:textId="06D1D54A" w:rsidR="00A94056" w:rsidRDefault="00374C61" w:rsidP="00874704">
      <w:pPr>
        <w:spacing w:before="120"/>
        <w:jc w:val="both"/>
      </w:pPr>
      <w:r>
        <w:t>For the suggested values, the agreement only applies to same-carrier scheduling. For cross-carrier scheduling, no agreement was made in RAN1, and it should not be assumed that the same-carrier scheduling agreement would also apply to cross-carrier scheduling.</w:t>
      </w:r>
      <w:r w:rsidR="00F37430">
        <w:t xml:space="preserve"> </w:t>
      </w:r>
      <w:r w:rsidR="00A94056">
        <w:t xml:space="preserve">Reminding that the maximum K0min/K2min value of 16 slots in the RRC configuration </w:t>
      </w:r>
      <w:r w:rsidR="00802519">
        <w:t xml:space="preserve">was mainly </w:t>
      </w:r>
      <w:r w:rsidR="00802519">
        <w:lastRenderedPageBreak/>
        <w:t xml:space="preserve">motivated by cross-slot scheduling (e.g., a 15kHz SCS carrier scheduling a 120kHz SCS carrier), </w:t>
      </w:r>
      <w:r w:rsidR="00FA4FC4">
        <w:t>it is desirable to support the same maximum value (i.e., 16 slots) as one of the UE suggested value. However,</w:t>
      </w:r>
      <w:r w:rsidR="007D2170">
        <w:t xml:space="preserve"> </w:t>
      </w:r>
      <w:r w:rsidR="00DC5D3D">
        <w:t>since the UAI for the minimum scheduling offset</w:t>
      </w:r>
      <w:r w:rsidR="000133A9">
        <w:t>, as captured in the current RAN2 specification, is per UE signaling, per SCS. Therefore, even</w:t>
      </w:r>
      <w:r w:rsidR="0057692A">
        <w:t xml:space="preserve"> </w:t>
      </w:r>
      <w:r w:rsidR="000133A9">
        <w:t xml:space="preserve">though </w:t>
      </w:r>
      <w:r w:rsidR="0057692A">
        <w:t xml:space="preserve">UE </w:t>
      </w:r>
      <w:r w:rsidR="00A93509">
        <w:t xml:space="preserve">supporting cross-carrier scheduling sends UAI suggesting </w:t>
      </w:r>
      <w:r w:rsidR="0057692A">
        <w:t xml:space="preserve">an offset value, the </w:t>
      </w:r>
      <w:r w:rsidR="00FB2FD8">
        <w:t>network</w:t>
      </w:r>
      <w:r w:rsidR="0057692A">
        <w:t xml:space="preserve"> may not </w:t>
      </w:r>
      <w:r w:rsidR="00A93509">
        <w:t>dis</w:t>
      </w:r>
      <w:r w:rsidR="00602F7A">
        <w:t>cern whether the value is for same-carrier scheduling or for cross-carrier scheduling.</w:t>
      </w:r>
    </w:p>
    <w:p w14:paraId="49A2FD81" w14:textId="30654E92" w:rsidR="0028038B" w:rsidRDefault="004C0023" w:rsidP="0028038B">
      <w:pPr>
        <w:spacing w:before="120"/>
        <w:jc w:val="both"/>
        <w:rPr>
          <w:iCs/>
        </w:rPr>
      </w:pPr>
      <w:r>
        <w:t xml:space="preserve">To resolve the ambiguity, a rule </w:t>
      </w:r>
      <w:r w:rsidR="00931C1E">
        <w:t xml:space="preserve">may be defined </w:t>
      </w:r>
      <w:r w:rsidR="00FB2FD8">
        <w:t xml:space="preserve">for the network to determine </w:t>
      </w:r>
      <w:r w:rsidR="00931C1E">
        <w:t xml:space="preserve">an appropriate value of the minimum scheduling offset </w:t>
      </w:r>
      <w:r w:rsidR="00400CE9">
        <w:t xml:space="preserve">for same- and cross-carrier scheduling, from the UE suggested value. </w:t>
      </w:r>
      <w:r w:rsidR="00741294">
        <w:t>Fortunately, in the current Rel-16 specification, we can find similar precedents</w:t>
      </w:r>
      <w:r w:rsidR="003D5EDA">
        <w:t>.</w:t>
      </w:r>
      <w:r w:rsidR="000A111C">
        <w:t xml:space="preserve"> </w:t>
      </w:r>
      <w:r w:rsidR="0028038B">
        <w:t xml:space="preserve">For example, for cross-carrier scheduling (or for cross-carrier A-CSI-RS), restriction of scheduling offset by </w:t>
      </w:r>
      <m:oMath>
        <m:sSub>
          <m:sSubPr>
            <m:ctrlPr>
              <w:rPr>
                <w:rFonts w:ascii="Cambria Math" w:hAnsi="Cambria Math"/>
              </w:rPr>
            </m:ctrlPr>
          </m:sSubPr>
          <m:e>
            <m:r>
              <w:rPr>
                <w:rFonts w:ascii="Cambria Math" w:hAnsi="Cambria Math"/>
              </w:rPr>
              <m:t>N</m:t>
            </m:r>
          </m:e>
          <m:sub>
            <m:r>
              <w:rPr>
                <w:rFonts w:ascii="Cambria Math" w:hAnsi="Cambria Math"/>
              </w:rPr>
              <m:t>pdsch</m:t>
            </m:r>
          </m:sub>
        </m:sSub>
      </m:oMath>
      <w:r w:rsidR="0028038B">
        <w:t xml:space="preserve"> (TS 38.214, Section 5.5) is applied as a function of the scheduling cell’s SCS. Additionally,</w:t>
      </w:r>
      <w:r w:rsidR="0096022A">
        <w:t xml:space="preserve"> a delay value </w:t>
      </w:r>
      <w:r w:rsidR="0096022A" w:rsidRPr="00111CCD">
        <w:rPr>
          <w:i/>
          <w:iCs/>
        </w:rPr>
        <w:t>d</w:t>
      </w:r>
      <w:r w:rsidR="0096022A">
        <w:t xml:space="preserve"> is</w:t>
      </w:r>
      <w:r w:rsidR="008149A8">
        <w:t xml:space="preserve"> added to the </w:t>
      </w:r>
      <w:proofErr w:type="spellStart"/>
      <w:r w:rsidR="00D50D12" w:rsidRPr="00111CCD">
        <w:rPr>
          <w:i/>
          <w:iCs/>
        </w:rPr>
        <w:t>timeDurationForQCL</w:t>
      </w:r>
      <w:proofErr w:type="spellEnd"/>
      <w:r w:rsidR="00D50D12">
        <w:t xml:space="preserve">, </w:t>
      </w:r>
      <w:r w:rsidR="00D30200">
        <w:t>to determine the threshold for</w:t>
      </w:r>
      <w:r w:rsidR="00170B2D">
        <w:t xml:space="preserve"> PDSCH beam indication.</w:t>
      </w:r>
      <w:r w:rsidR="003D5EDA">
        <w:t xml:space="preserve"> </w:t>
      </w:r>
      <w:r w:rsidR="006D55E0">
        <w:t>T</w:t>
      </w:r>
      <w:r w:rsidR="003D5EDA">
        <w:t>he</w:t>
      </w:r>
      <w:r w:rsidR="006D55E0">
        <w:t xml:space="preserve"> same</w:t>
      </w:r>
      <w:r w:rsidR="003D5EDA">
        <w:t xml:space="preserve"> underlying principle </w:t>
      </w:r>
      <w:r w:rsidR="006D55E0">
        <w:t xml:space="preserve">may </w:t>
      </w:r>
      <w:r w:rsidR="003D5EDA">
        <w:t>be reused for the minimum scheduling offset adaptation.</w:t>
      </w:r>
      <w:r w:rsidR="00415D4E">
        <w:t xml:space="preserve"> That is, when the UE suggested value is used for </w:t>
      </w:r>
      <w:r w:rsidR="00291025">
        <w:t>same-carrier scheduling, the network may use the reported value as it is</w:t>
      </w:r>
      <w:r w:rsidR="00034D30">
        <w:t xml:space="preserve">. </w:t>
      </w:r>
      <w:r w:rsidR="003E6B44">
        <w:t>On the other hand, w</w:t>
      </w:r>
      <w:r w:rsidR="00034D30">
        <w:t xml:space="preserve">hen the </w:t>
      </w:r>
      <w:r w:rsidR="003E6B44">
        <w:t xml:space="preserve">UE suggested value is used for cross-carrier scheduling, the network may implicitly add </w:t>
      </w:r>
      <w:r w:rsidR="0086775E">
        <w:t>a</w:t>
      </w:r>
      <w:r w:rsidR="006452CD">
        <w:t xml:space="preserve">n offset </w:t>
      </w:r>
      <m:oMath>
        <m:r>
          <w:rPr>
            <w:rFonts w:ascii="Cambria Math" w:hAnsi="Cambria Math"/>
          </w:rPr>
          <m:t>δ</m:t>
        </m:r>
      </m:oMath>
      <w:r w:rsidR="006452CD">
        <w:rPr>
          <w:iCs/>
        </w:rPr>
        <w:t xml:space="preserve"> to the</w:t>
      </w:r>
      <w:r w:rsidR="00347D51">
        <w:rPr>
          <w:iCs/>
        </w:rPr>
        <w:t xml:space="preserve"> reported value. For the </w:t>
      </w:r>
      <m:oMath>
        <m:r>
          <w:rPr>
            <w:rFonts w:ascii="Cambria Math" w:hAnsi="Cambria Math"/>
          </w:rPr>
          <m:t>δ</m:t>
        </m:r>
      </m:oMath>
      <w:r w:rsidR="00347D51">
        <w:rPr>
          <w:iCs/>
        </w:rPr>
        <w:t xml:space="preserve"> value, </w:t>
      </w:r>
      <w:r w:rsidR="000F33C4">
        <w:rPr>
          <w:iCs/>
        </w:rPr>
        <w:t>{[</w:t>
      </w:r>
      <w:r w:rsidR="00347D51">
        <w:rPr>
          <w:iCs/>
        </w:rPr>
        <w:t>0</w:t>
      </w:r>
      <w:proofErr w:type="gramStart"/>
      <w:r w:rsidR="000F33C4">
        <w:rPr>
          <w:iCs/>
        </w:rPr>
        <w:t>]</w:t>
      </w:r>
      <w:r w:rsidR="006F36D4">
        <w:rPr>
          <w:iCs/>
        </w:rPr>
        <w:t>,…</w:t>
      </w:r>
      <w:proofErr w:type="gramEnd"/>
      <w:r w:rsidR="006F36D4">
        <w:rPr>
          <w:iCs/>
        </w:rPr>
        <w:t>,[2]</w:t>
      </w:r>
      <w:r w:rsidR="000F33C4">
        <w:rPr>
          <w:iCs/>
        </w:rPr>
        <w:t xml:space="preserve">} slots for 15kHz and 30kHz SCSs </w:t>
      </w:r>
      <w:r w:rsidR="005F6EDA">
        <w:rPr>
          <w:iCs/>
        </w:rPr>
        <w:t>and {[2],</w:t>
      </w:r>
      <w:r w:rsidR="00FD2916">
        <w:rPr>
          <w:iCs/>
        </w:rPr>
        <w:t>…</w:t>
      </w:r>
      <w:r w:rsidR="005F6EDA">
        <w:rPr>
          <w:iCs/>
        </w:rPr>
        <w:t xml:space="preserve">,[4]} slots for </w:t>
      </w:r>
      <w:r w:rsidR="00286930">
        <w:rPr>
          <w:iCs/>
        </w:rPr>
        <w:t xml:space="preserve">60kHz and 120kHz SCSs can be considered </w:t>
      </w:r>
      <w:r w:rsidR="00E011A5">
        <w:rPr>
          <w:iCs/>
        </w:rPr>
        <w:t>as a candidate.</w:t>
      </w:r>
    </w:p>
    <w:p w14:paraId="5E1EC93D" w14:textId="3ED9A778" w:rsidR="00E011A5" w:rsidRDefault="00E011A5" w:rsidP="00111CCD">
      <w:pPr>
        <w:pStyle w:val="Caption"/>
      </w:pPr>
      <w:bookmarkStart w:id="3" w:name="_Toc40464606"/>
      <w:r>
        <w:t xml:space="preserve">Proposal </w:t>
      </w:r>
      <w:r w:rsidR="00FD2916">
        <w:fldChar w:fldCharType="begin"/>
      </w:r>
      <w:r w:rsidR="00FD2916">
        <w:instrText xml:space="preserve"> SEQ Proposal \* ARABIC </w:instrText>
      </w:r>
      <w:r w:rsidR="00FD2916">
        <w:fldChar w:fldCharType="separate"/>
      </w:r>
      <w:r w:rsidR="000E7CB9">
        <w:rPr>
          <w:noProof/>
        </w:rPr>
        <w:t>2</w:t>
      </w:r>
      <w:r w:rsidR="00FD2916">
        <w:rPr>
          <w:noProof/>
        </w:rPr>
        <w:fldChar w:fldCharType="end"/>
      </w:r>
      <w:r>
        <w:t>: A</w:t>
      </w:r>
      <w:r w:rsidR="00783D0A">
        <w:t xml:space="preserve">s a rule for deriving </w:t>
      </w:r>
      <w:r w:rsidR="00F53724">
        <w:t>a</w:t>
      </w:r>
      <w:r w:rsidR="00C636CA">
        <w:t xml:space="preserve"> </w:t>
      </w:r>
      <w:r w:rsidR="00931840">
        <w:t xml:space="preserve">suggested minimum </w:t>
      </w:r>
      <w:r w:rsidR="00C636CA">
        <w:t>schedul</w:t>
      </w:r>
      <w:r w:rsidR="00931840">
        <w:t>ing offset value for cross-carrier scheduling</w:t>
      </w:r>
      <w:r w:rsidR="00CC4B99">
        <w:t>, adding a</w:t>
      </w:r>
      <w:r w:rsidR="00F53724">
        <w:t xml:space="preserve"> fixed</w:t>
      </w:r>
      <w:r w:rsidR="00CC4B99">
        <w:t xml:space="preserve"> offset </w:t>
      </w:r>
      <m:oMath>
        <m:r>
          <m:rPr>
            <m:sty m:val="bi"/>
          </m:rPr>
          <w:rPr>
            <w:rFonts w:ascii="Cambria Math" w:hAnsi="Cambria Math"/>
          </w:rPr>
          <m:t>δ</m:t>
        </m:r>
      </m:oMath>
      <w:r w:rsidR="00CC4B99">
        <w:rPr>
          <w:iCs/>
        </w:rPr>
        <w:t xml:space="preserve"> to the </w:t>
      </w:r>
      <w:r w:rsidR="00A552A3">
        <w:rPr>
          <w:iCs/>
        </w:rPr>
        <w:t>suggested value for same-carrier scheduling can be considered.</w:t>
      </w:r>
      <w:bookmarkEnd w:id="3"/>
    </w:p>
    <w:p w14:paraId="147C1E24" w14:textId="71445857" w:rsidR="00374C61" w:rsidRDefault="00374C61" w:rsidP="00111CCD">
      <w:pPr>
        <w:jc w:val="both"/>
        <w:rPr>
          <w:lang w:val="en-GB"/>
        </w:rPr>
      </w:pPr>
      <w:r>
        <w:t>Given that the UE suggested values will be captured in RAN2 specification</w:t>
      </w:r>
      <w:bookmarkStart w:id="4" w:name="_GoBack"/>
      <w:bookmarkEnd w:id="4"/>
      <w:r>
        <w:t xml:space="preserve"> instead of RAN1, we prefer the discussion for cross-carrier scheduling case to take place in RAN2. Therefore, </w:t>
      </w:r>
      <w:r w:rsidR="004C0023">
        <w:rPr>
          <w:lang w:val="en-GB"/>
        </w:rPr>
        <w:t>n</w:t>
      </w:r>
      <w:r>
        <w:rPr>
          <w:lang w:val="en-GB"/>
        </w:rPr>
        <w:t>o TP is presented as this proposal should be discussed and specified in RAN2.</w:t>
      </w:r>
    </w:p>
    <w:p w14:paraId="2C6AEB6A" w14:textId="62BEAF9B" w:rsidR="00421402" w:rsidRDefault="00421402" w:rsidP="00374C61">
      <w:pPr>
        <w:rPr>
          <w:lang w:val="en-GB"/>
        </w:rPr>
      </w:pPr>
    </w:p>
    <w:p w14:paraId="4863CABD" w14:textId="5D8C88E0" w:rsidR="00421402" w:rsidRDefault="006C23D3" w:rsidP="00421402">
      <w:pPr>
        <w:pStyle w:val="Heading2"/>
      </w:pPr>
      <w:r>
        <w:t xml:space="preserve">Working assumption </w:t>
      </w:r>
      <w:r w:rsidR="00F66821">
        <w:t>for application delay</w:t>
      </w:r>
    </w:p>
    <w:p w14:paraId="706E5733" w14:textId="243C75C9" w:rsidR="00421402" w:rsidRDefault="00421402" w:rsidP="00421402">
      <w:pPr>
        <w:jc w:val="both"/>
      </w:pPr>
      <w:r>
        <w:t xml:space="preserve">In RAN1 #99, the following agreement related to the </w:t>
      </w:r>
      <w:r w:rsidR="00C61B0D">
        <w:t>application delay has been</w:t>
      </w:r>
      <w:r>
        <w:t xml:space="preserve"> agreed:</w:t>
      </w:r>
    </w:p>
    <w:tbl>
      <w:tblPr>
        <w:tblStyle w:val="TableGrid"/>
        <w:tblW w:w="0" w:type="auto"/>
        <w:tblLook w:val="04A0" w:firstRow="1" w:lastRow="0" w:firstColumn="1" w:lastColumn="0" w:noHBand="0" w:noVBand="1"/>
      </w:tblPr>
      <w:tblGrid>
        <w:gridCol w:w="9962"/>
      </w:tblGrid>
      <w:tr w:rsidR="00421402" w14:paraId="47AD69BF" w14:textId="77777777" w:rsidTr="00FD4AE5">
        <w:tc>
          <w:tcPr>
            <w:tcW w:w="9962" w:type="dxa"/>
          </w:tcPr>
          <w:p w14:paraId="47B430FB" w14:textId="77777777" w:rsidR="00271960" w:rsidRPr="006A5522" w:rsidRDefault="00271960" w:rsidP="00271960">
            <w:pPr>
              <w:spacing w:before="0" w:after="0"/>
              <w:rPr>
                <w:lang w:eastAsia="x-none"/>
              </w:rPr>
            </w:pPr>
            <w:r w:rsidRPr="006A5522">
              <w:rPr>
                <w:highlight w:val="green"/>
                <w:lang w:eastAsia="x-none"/>
              </w:rPr>
              <w:t>Agreements</w:t>
            </w:r>
            <w:r w:rsidRPr="006A5522">
              <w:rPr>
                <w:lang w:eastAsia="x-none"/>
              </w:rPr>
              <w:t>:</w:t>
            </w:r>
          </w:p>
          <w:p w14:paraId="66C7DD94" w14:textId="77777777" w:rsidR="00271960" w:rsidRPr="006A5522" w:rsidRDefault="00271960" w:rsidP="00271960">
            <w:pPr>
              <w:pStyle w:val="Caption"/>
              <w:spacing w:before="0" w:after="0"/>
              <w:rPr>
                <w:b w:val="0"/>
              </w:rPr>
            </w:pPr>
            <w:r w:rsidRPr="006A5522">
              <w:rPr>
                <w:b w:val="0"/>
              </w:rPr>
              <w:t>For PDCCH monitoring case 1-1 for Cross-carrier scheduling, the application delay of cross-slot scheduling adaptation, denoted by X slot(s) for the scheduling cell, is determined by</w:t>
            </w:r>
          </w:p>
          <w:p w14:paraId="1C8C7326" w14:textId="77777777" w:rsidR="00271960" w:rsidRPr="006A5522" w:rsidRDefault="00271960" w:rsidP="00271960">
            <w:pPr>
              <w:pStyle w:val="ListParagraph"/>
              <w:numPr>
                <w:ilvl w:val="0"/>
                <w:numId w:val="41"/>
              </w:numPr>
              <w:overflowPunct w:val="0"/>
              <w:autoSpaceDE w:val="0"/>
              <w:autoSpaceDN w:val="0"/>
              <w:adjustRightInd w:val="0"/>
              <w:spacing w:before="0"/>
              <w:contextualSpacing/>
              <w:textAlignment w:val="baseline"/>
              <w:rPr>
                <w:szCs w:val="20"/>
              </w:rPr>
            </w:pPr>
            <w:r w:rsidRPr="006A5522">
              <w:rPr>
                <w:szCs w:val="20"/>
              </w:rPr>
              <w:t xml:space="preserve">X = </w:t>
            </w:r>
            <w:proofErr w:type="gramStart"/>
            <w:r w:rsidRPr="006A5522">
              <w:rPr>
                <w:szCs w:val="20"/>
              </w:rPr>
              <w:t>max(</w:t>
            </w:r>
            <w:proofErr w:type="gramEnd"/>
            <w:r w:rsidRPr="006A5522">
              <w:rPr>
                <w:szCs w:val="20"/>
              </w:rPr>
              <w:t>Y, Z)</w:t>
            </w:r>
          </w:p>
          <w:p w14:paraId="532A405C" w14:textId="77777777" w:rsidR="00271960" w:rsidRPr="006A5522" w:rsidRDefault="00271960" w:rsidP="00271960">
            <w:pPr>
              <w:pStyle w:val="ListParagraph"/>
              <w:numPr>
                <w:ilvl w:val="0"/>
                <w:numId w:val="41"/>
              </w:numPr>
              <w:overflowPunct w:val="0"/>
              <w:autoSpaceDE w:val="0"/>
              <w:autoSpaceDN w:val="0"/>
              <w:adjustRightInd w:val="0"/>
              <w:spacing w:before="0"/>
              <w:contextualSpacing/>
              <w:textAlignment w:val="baseline"/>
              <w:rPr>
                <w:szCs w:val="20"/>
              </w:rPr>
            </w:pPr>
            <w:r w:rsidRPr="006A5522">
              <w:rPr>
                <w:szCs w:val="20"/>
              </w:rPr>
              <w:t xml:space="preserve">Z is determined by the SCS of the active DL BWP of the scheduling cell and takes value of 1/1/2/2 slot(s) for DL SCS of 15/30/60/120 </w:t>
            </w:r>
            <w:proofErr w:type="spellStart"/>
            <w:r w:rsidRPr="006A5522">
              <w:rPr>
                <w:szCs w:val="20"/>
              </w:rPr>
              <w:t>KHz</w:t>
            </w:r>
            <w:proofErr w:type="spellEnd"/>
            <w:r w:rsidRPr="006A5522">
              <w:rPr>
                <w:szCs w:val="20"/>
              </w:rPr>
              <w:t>, respectively</w:t>
            </w:r>
          </w:p>
          <w:p w14:paraId="16F3F52C" w14:textId="77777777" w:rsidR="00271960" w:rsidRPr="006A5522" w:rsidRDefault="00271960" w:rsidP="00271960">
            <w:pPr>
              <w:pStyle w:val="ListParagraph"/>
              <w:numPr>
                <w:ilvl w:val="0"/>
                <w:numId w:val="41"/>
              </w:numPr>
              <w:overflowPunct w:val="0"/>
              <w:autoSpaceDE w:val="0"/>
              <w:autoSpaceDN w:val="0"/>
              <w:adjustRightInd w:val="0"/>
              <w:spacing w:before="0"/>
              <w:contextualSpacing/>
              <w:textAlignment w:val="baseline"/>
              <w:rPr>
                <w:szCs w:val="20"/>
              </w:rPr>
            </w:pPr>
            <w:r w:rsidRPr="006A5522">
              <w:rPr>
                <w:szCs w:val="20"/>
              </w:rPr>
              <w:t>Y is determined as one of the following alternatives:</w:t>
            </w:r>
          </w:p>
          <w:p w14:paraId="5BAAEF5B" w14:textId="2811541B" w:rsidR="00421402" w:rsidRPr="00A77B5E" w:rsidRDefault="00271960" w:rsidP="00271960">
            <w:pPr>
              <w:pStyle w:val="Caption"/>
              <w:numPr>
                <w:ilvl w:val="1"/>
                <w:numId w:val="41"/>
              </w:numPr>
              <w:overflowPunct/>
              <w:autoSpaceDE/>
              <w:adjustRightInd/>
              <w:spacing w:before="0"/>
              <w:textAlignment w:val="auto"/>
              <w:rPr>
                <w:rFonts w:ascii="Calibri" w:hAnsi="Calibri"/>
                <w:b w:val="0"/>
                <w:bCs w:val="0"/>
              </w:rPr>
            </w:pPr>
            <w:r w:rsidRPr="006A5522">
              <w:t xml:space="preserve"> (</w:t>
            </w:r>
            <w:r w:rsidRPr="006A5522">
              <w:rPr>
                <w:highlight w:val="darkYellow"/>
              </w:rPr>
              <w:t>working assumption</w:t>
            </w:r>
            <w:r w:rsidRPr="006A5522">
              <w:t>) ceiling(minK</w:t>
            </w:r>
            <w:r w:rsidRPr="006A5522">
              <w:rPr>
                <w:vertAlign w:val="subscript"/>
              </w:rPr>
              <w:t>0,scheduled</w:t>
            </w:r>
            <w:r w:rsidRPr="006A5522">
              <w:t>*2^</w:t>
            </w:r>
            <w:r w:rsidRPr="006A5522">
              <w:sym w:font="Symbol" w:char="F06D"/>
            </w:r>
            <w:proofErr w:type="spellStart"/>
            <w:r w:rsidRPr="006A5522">
              <w:rPr>
                <w:vertAlign w:val="subscript"/>
              </w:rPr>
              <w:t>scheudling</w:t>
            </w:r>
            <w:proofErr w:type="spellEnd"/>
            <w:r w:rsidRPr="006A5522">
              <w:t>/2^</w:t>
            </w:r>
            <w:r w:rsidRPr="006A5522">
              <w:sym w:font="Symbol" w:char="F06D"/>
            </w:r>
            <w:proofErr w:type="spellStart"/>
            <w:r w:rsidRPr="006A5522">
              <w:rPr>
                <w:vertAlign w:val="subscript"/>
              </w:rPr>
              <w:t>scheudled</w:t>
            </w:r>
            <w:proofErr w:type="spellEnd"/>
            <w:r w:rsidRPr="006A5522">
              <w:t>), where minK</w:t>
            </w:r>
            <w:r w:rsidRPr="006A5522">
              <w:rPr>
                <w:vertAlign w:val="subscript"/>
              </w:rPr>
              <w:t>0,scheduled</w:t>
            </w:r>
            <w:r w:rsidRPr="006A5522">
              <w:t xml:space="preserve"> the minimum applicable K0 value of the active DL BWP of </w:t>
            </w:r>
            <w:r w:rsidRPr="006A5522">
              <w:rPr>
                <w:u w:val="single"/>
              </w:rPr>
              <w:t>the scheduled cell</w:t>
            </w:r>
            <w:r w:rsidRPr="006A5522">
              <w:t xml:space="preserve"> prior to the change indication for the scheduled cell, </w:t>
            </w:r>
            <w:r w:rsidRPr="006A5522">
              <w:sym w:font="Symbol" w:char="F06D"/>
            </w:r>
            <w:proofErr w:type="spellStart"/>
            <w:r w:rsidRPr="006A5522">
              <w:rPr>
                <w:vertAlign w:val="subscript"/>
              </w:rPr>
              <w:t>scheudling</w:t>
            </w:r>
            <w:proofErr w:type="spellEnd"/>
            <w:r w:rsidRPr="006A5522">
              <w:t xml:space="preserve"> and </w:t>
            </w:r>
            <w:r w:rsidRPr="006A5522">
              <w:sym w:font="Symbol" w:char="F06D"/>
            </w:r>
            <w:proofErr w:type="spellStart"/>
            <w:r w:rsidRPr="006A5522">
              <w:rPr>
                <w:vertAlign w:val="subscript"/>
              </w:rPr>
              <w:t>scheudled</w:t>
            </w:r>
            <w:proofErr w:type="spellEnd"/>
            <w:r w:rsidRPr="006A5522">
              <w:t xml:space="preserve"> are the SCS indices for the scheduling cell and the scheduled cell, respectively.</w:t>
            </w:r>
          </w:p>
        </w:tc>
      </w:tr>
    </w:tbl>
    <w:p w14:paraId="16940ED4" w14:textId="1855EF0E" w:rsidR="00E856D9" w:rsidRDefault="00886B5B" w:rsidP="007911BD">
      <w:pPr>
        <w:spacing w:before="120"/>
        <w:jc w:val="both"/>
        <w:rPr>
          <w:iCs/>
          <w:lang w:val="en-GB"/>
        </w:rPr>
      </w:pPr>
      <w:r>
        <w:rPr>
          <w:lang w:val="en-GB"/>
        </w:rPr>
        <w:t xml:space="preserve">As the working assumption in RAN1 #99 has not </w:t>
      </w:r>
      <w:r w:rsidR="006C23D3">
        <w:rPr>
          <w:lang w:val="en-GB"/>
        </w:rPr>
        <w:t>been captured in the current spec yet</w:t>
      </w:r>
      <w:r>
        <w:rPr>
          <w:lang w:val="en-GB"/>
        </w:rPr>
        <w:t xml:space="preserve">, </w:t>
      </w:r>
      <w:r w:rsidR="00EA61F3">
        <w:rPr>
          <w:lang w:val="en-GB"/>
        </w:rPr>
        <w:t>the application delay when the numerologies of the scheduling and scheduled cells are different (i</w:t>
      </w:r>
      <w:r w:rsidR="003F5CCF">
        <w:rPr>
          <w:lang w:val="en-GB"/>
        </w:rPr>
        <w:t>.e., cross-carrier scheduling)</w:t>
      </w:r>
      <w:r w:rsidR="00E856D9">
        <w:rPr>
          <w:lang w:val="en-GB"/>
        </w:rPr>
        <w:t xml:space="preserve"> is not clearly defined</w:t>
      </w:r>
      <w:r w:rsidR="006C23D3">
        <w:rPr>
          <w:lang w:val="en-GB"/>
        </w:rPr>
        <w:t xml:space="preserve">: </w:t>
      </w:r>
      <w:r w:rsidR="00E856D9">
        <w:rPr>
          <w:lang w:val="en-GB"/>
        </w:rPr>
        <w:t xml:space="preserve"> </w:t>
      </w:r>
      <w:r w:rsidR="006C23D3">
        <w:rPr>
          <w:lang w:val="en-GB"/>
        </w:rPr>
        <w:t xml:space="preserve">In </w:t>
      </w:r>
      <w:r w:rsidR="00E856D9">
        <w:rPr>
          <w:lang w:val="en-GB"/>
        </w:rPr>
        <w:t xml:space="preserve">the current </w:t>
      </w:r>
      <w:r w:rsidR="00C5712F">
        <w:rPr>
          <w:lang w:val="en-GB"/>
        </w:rPr>
        <w:t>spec (TS 38.214, Section 5.3.1</w:t>
      </w:r>
      <w:r w:rsidR="006C23D3">
        <w:rPr>
          <w:lang w:val="en-GB"/>
        </w:rPr>
        <w:t xml:space="preserve">), </w:t>
      </w:r>
      <w:r w:rsidR="001823B3">
        <w:rPr>
          <w:lang w:val="en-GB"/>
        </w:rPr>
        <w:t>the numerology conversion for the application delay</w:t>
      </w:r>
      <w:r w:rsidR="00E856D9">
        <w:rPr>
          <w:lang w:val="en-GB"/>
        </w:rPr>
        <w:t xml:space="preserve"> is </w:t>
      </w:r>
      <w:r w:rsidR="001823B3">
        <w:rPr>
          <w:lang w:val="en-GB"/>
        </w:rPr>
        <w:t xml:space="preserve">only vaguely described using </w:t>
      </w:r>
      <m:oMath>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PDCCH</m:t>
            </m:r>
          </m:sub>
        </m:sSub>
      </m:oMath>
      <w:r w:rsidR="001823B3">
        <w:rPr>
          <w:iCs/>
          <w:lang w:val="en-GB"/>
        </w:rPr>
        <w:t xml:space="preserve"> and </w:t>
      </w:r>
      <m:oMath>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PDCCH</m:t>
            </m:r>
          </m:sub>
        </m:sSub>
      </m:oMath>
      <w:r w:rsidR="0004688F">
        <w:rPr>
          <w:iCs/>
          <w:lang w:val="en-GB"/>
        </w:rPr>
        <w:t xml:space="preserve">. However, </w:t>
      </w:r>
      <w:r w:rsidR="00E0150C">
        <w:rPr>
          <w:iCs/>
          <w:lang w:val="en-GB"/>
        </w:rPr>
        <w:t xml:space="preserve">the definition of </w:t>
      </w:r>
      <m:oMath>
        <m:sSub>
          <m:sSubPr>
            <m:ctrlPr>
              <w:rPr>
                <w:rFonts w:ascii="Cambria Math" w:hAnsi="Cambria Math"/>
                <w:iCs/>
                <w:lang w:val="en-GB"/>
              </w:rPr>
            </m:ctrlPr>
          </m:sSubPr>
          <m:e>
            <m:r>
              <w:rPr>
                <w:rFonts w:ascii="Cambria Math" w:hAnsi="Cambria Math"/>
                <w:lang w:val="en-GB"/>
              </w:rPr>
              <m:t>μ</m:t>
            </m:r>
          </m:e>
          <m:sub>
            <m:r>
              <w:rPr>
                <w:rFonts w:ascii="Cambria Math" w:hAnsi="Cambria Math"/>
                <w:lang w:val="en-GB"/>
              </w:rPr>
              <m:t>PDSCH</m:t>
            </m:r>
          </m:sub>
        </m:sSub>
      </m:oMath>
      <w:r w:rsidR="00E0150C">
        <w:rPr>
          <w:iCs/>
          <w:lang w:val="en-GB"/>
        </w:rPr>
        <w:t xml:space="preserve"> is </w:t>
      </w:r>
      <w:r w:rsidR="00193A7C">
        <w:rPr>
          <w:iCs/>
          <w:lang w:val="en-GB"/>
        </w:rPr>
        <w:t xml:space="preserve">unclear if the change of the minimum applicable scheduling offset is triggered by a </w:t>
      </w:r>
      <w:r w:rsidR="00750206">
        <w:rPr>
          <w:iCs/>
          <w:lang w:val="en-GB"/>
        </w:rPr>
        <w:t>UL grant and not associated with PDSCH.</w:t>
      </w:r>
    </w:p>
    <w:p w14:paraId="49F39B70" w14:textId="186CBFE5" w:rsidR="000B48A6" w:rsidRDefault="000B48A6" w:rsidP="007911BD">
      <w:pPr>
        <w:spacing w:before="120"/>
        <w:jc w:val="both"/>
        <w:rPr>
          <w:lang w:val="en-GB"/>
        </w:rPr>
      </w:pPr>
      <w:r>
        <w:rPr>
          <w:iCs/>
          <w:lang w:val="en-GB"/>
        </w:rPr>
        <w:t xml:space="preserve">Noting that, in RAN1 #100b-e, </w:t>
      </w:r>
      <w:r w:rsidR="006C23D3">
        <w:rPr>
          <w:iCs/>
          <w:lang w:val="en-GB"/>
        </w:rPr>
        <w:t xml:space="preserve">numerology </w:t>
      </w:r>
      <w:r>
        <w:rPr>
          <w:iCs/>
          <w:lang w:val="en-GB"/>
        </w:rPr>
        <w:t xml:space="preserve">conversion for </w:t>
      </w:r>
      <m:oMath>
        <m:sSub>
          <m:sSubPr>
            <m:ctrlPr>
              <w:rPr>
                <w:rFonts w:ascii="Cambria Math" w:hAnsi="Cambria Math"/>
                <w:iCs/>
                <w:lang w:val="en-GB"/>
              </w:rPr>
            </m:ctrlPr>
          </m:sSubPr>
          <m:e>
            <m:r>
              <w:rPr>
                <w:rFonts w:ascii="Cambria Math" w:hAnsi="Cambria Math"/>
                <w:lang w:val="en-GB"/>
              </w:rPr>
              <m:t>K</m:t>
            </m:r>
          </m:e>
          <m:sub>
            <m:r>
              <m:rPr>
                <m:sty m:val="p"/>
              </m:rPr>
              <w:rPr>
                <w:rFonts w:ascii="Cambria Math" w:hAnsi="Cambria Math"/>
                <w:lang w:val="en-GB"/>
              </w:rPr>
              <m:t>0min</m:t>
            </m:r>
          </m:sub>
        </m:sSub>
      </m:oMath>
      <w:r w:rsidR="00A8761B">
        <w:rPr>
          <w:iCs/>
          <w:lang w:val="en-GB"/>
        </w:rPr>
        <w:t xml:space="preserve"> and </w:t>
      </w:r>
      <m:oMath>
        <m:sSub>
          <m:sSubPr>
            <m:ctrlPr>
              <w:rPr>
                <w:rFonts w:ascii="Cambria Math" w:hAnsi="Cambria Math"/>
                <w:iCs/>
                <w:lang w:val="en-GB"/>
              </w:rPr>
            </m:ctrlPr>
          </m:sSubPr>
          <m:e>
            <m:r>
              <w:rPr>
                <w:rFonts w:ascii="Cambria Math" w:hAnsi="Cambria Math"/>
                <w:lang w:val="en-GB"/>
              </w:rPr>
              <m:t>K</m:t>
            </m:r>
          </m:e>
          <m:sub>
            <m:r>
              <m:rPr>
                <m:sty m:val="p"/>
              </m:rPr>
              <w:rPr>
                <w:rFonts w:ascii="Cambria Math" w:hAnsi="Cambria Math"/>
                <w:lang w:val="en-GB"/>
              </w:rPr>
              <m:t>2min</m:t>
            </m:r>
          </m:sub>
        </m:sSub>
      </m:oMath>
      <w:r w:rsidR="00A8761B">
        <w:rPr>
          <w:iCs/>
          <w:lang w:val="en-GB"/>
        </w:rPr>
        <w:t xml:space="preserve"> </w:t>
      </w:r>
      <w:r w:rsidR="002E4AE4">
        <w:rPr>
          <w:iCs/>
          <w:lang w:val="en-GB"/>
        </w:rPr>
        <w:t xml:space="preserve">has been agreed, we can </w:t>
      </w:r>
      <w:r w:rsidR="009259ED">
        <w:rPr>
          <w:iCs/>
          <w:lang w:val="en-GB"/>
        </w:rPr>
        <w:t>take the same step for the application delay.</w:t>
      </w:r>
    </w:p>
    <w:p w14:paraId="330F89B1" w14:textId="1FAB7348" w:rsidR="00B24C48" w:rsidRDefault="00325C93" w:rsidP="00C61B0D">
      <w:pPr>
        <w:pStyle w:val="Caption"/>
        <w:jc w:val="both"/>
      </w:pPr>
      <w:bookmarkStart w:id="5" w:name="_Toc40464607"/>
      <w:r>
        <w:t xml:space="preserve">Proposal </w:t>
      </w:r>
      <w:r w:rsidR="00FD2916">
        <w:fldChar w:fldCharType="begin"/>
      </w:r>
      <w:r w:rsidR="00FD2916">
        <w:instrText xml:space="preserve"> SEQ Proposal \* ARABIC </w:instrText>
      </w:r>
      <w:r w:rsidR="00FD2916">
        <w:fldChar w:fldCharType="separate"/>
      </w:r>
      <w:r w:rsidR="000E7CB9">
        <w:rPr>
          <w:noProof/>
        </w:rPr>
        <w:t>3</w:t>
      </w:r>
      <w:r w:rsidR="00FD2916">
        <w:rPr>
          <w:noProof/>
        </w:rPr>
        <w:fldChar w:fldCharType="end"/>
      </w:r>
      <w:r>
        <w:t xml:space="preserve">: Confirm the working assumption </w:t>
      </w:r>
      <w:r w:rsidR="009B48CC">
        <w:t xml:space="preserve">in RAN1 </w:t>
      </w:r>
      <w:r w:rsidR="00C61B0D">
        <w:t>#99 and</w:t>
      </w:r>
      <w:r w:rsidR="009B48CC">
        <w:t xml:space="preserve"> apply numerology conversion to the application delay based on the numerologies of the schedul</w:t>
      </w:r>
      <w:r w:rsidR="006C23D3">
        <w:t>ing</w:t>
      </w:r>
      <w:r w:rsidR="009B48CC">
        <w:t xml:space="preserve"> and scheduled cells.</w:t>
      </w:r>
      <w:bookmarkEnd w:id="5"/>
    </w:p>
    <w:p w14:paraId="59DC7358" w14:textId="4D7E70B5" w:rsidR="00F8191E" w:rsidRDefault="00F8191E" w:rsidP="00F8191E">
      <w:pPr>
        <w:jc w:val="both"/>
      </w:pPr>
      <w:r>
        <w:t>A TP implementing the above proposal is presented in the Appendix section.</w:t>
      </w:r>
    </w:p>
    <w:p w14:paraId="06B69CEF" w14:textId="77777777" w:rsidR="005A2B3C" w:rsidRPr="00B20DC9" w:rsidRDefault="005A2B3C" w:rsidP="00F8191E">
      <w:pPr>
        <w:jc w:val="both"/>
      </w:pPr>
    </w:p>
    <w:p w14:paraId="38FFE635" w14:textId="73DA8248" w:rsidR="00C61B0D" w:rsidRDefault="00C61B0D" w:rsidP="00C61B0D">
      <w:pPr>
        <w:jc w:val="both"/>
      </w:pPr>
      <w:r>
        <w:t xml:space="preserve">In RAN1 #100b-e, the following agreement </w:t>
      </w:r>
      <w:r w:rsidR="00F8191E">
        <w:t>has been made</w:t>
      </w:r>
      <w:r>
        <w:t>:</w:t>
      </w:r>
    </w:p>
    <w:tbl>
      <w:tblPr>
        <w:tblStyle w:val="TableGrid"/>
        <w:tblW w:w="0" w:type="auto"/>
        <w:tblLook w:val="04A0" w:firstRow="1" w:lastRow="0" w:firstColumn="1" w:lastColumn="0" w:noHBand="0" w:noVBand="1"/>
      </w:tblPr>
      <w:tblGrid>
        <w:gridCol w:w="9962"/>
      </w:tblGrid>
      <w:tr w:rsidR="001A6BE1" w14:paraId="72F43D6B" w14:textId="77777777" w:rsidTr="00FD4AE5">
        <w:tc>
          <w:tcPr>
            <w:tcW w:w="9962" w:type="dxa"/>
          </w:tcPr>
          <w:p w14:paraId="01ED2126" w14:textId="77777777" w:rsidR="001A6BE1" w:rsidRPr="006A5522" w:rsidRDefault="001A6BE1" w:rsidP="00FD4AE5">
            <w:pPr>
              <w:spacing w:before="0" w:after="0"/>
              <w:rPr>
                <w:lang w:eastAsia="x-none"/>
              </w:rPr>
            </w:pPr>
            <w:r w:rsidRPr="006A5522">
              <w:rPr>
                <w:highlight w:val="green"/>
                <w:lang w:eastAsia="x-none"/>
              </w:rPr>
              <w:lastRenderedPageBreak/>
              <w:t>Agreements</w:t>
            </w:r>
            <w:r w:rsidRPr="006A5522">
              <w:rPr>
                <w:lang w:eastAsia="x-none"/>
              </w:rPr>
              <w:t>:</w:t>
            </w:r>
          </w:p>
          <w:p w14:paraId="1E9015EC" w14:textId="77777777" w:rsidR="001A6BE1" w:rsidRPr="001A6BE1" w:rsidRDefault="001A6BE1" w:rsidP="001A6BE1">
            <w:pPr>
              <w:spacing w:before="0" w:after="0"/>
            </w:pPr>
            <w:r w:rsidRPr="001A6BE1">
              <w:t>For DCI scheduling PDSCH or PUSCH and indicating active BWP change,</w:t>
            </w:r>
          </w:p>
          <w:p w14:paraId="18A5BEE0" w14:textId="77777777" w:rsidR="001A6BE1" w:rsidRPr="001A6BE1" w:rsidRDefault="001A6BE1" w:rsidP="001A6BE1">
            <w:pPr>
              <w:numPr>
                <w:ilvl w:val="0"/>
                <w:numId w:val="41"/>
              </w:numPr>
              <w:overflowPunct/>
              <w:autoSpaceDE/>
              <w:autoSpaceDN/>
              <w:adjustRightInd/>
              <w:spacing w:before="0" w:after="0"/>
              <w:textAlignment w:val="auto"/>
              <w:rPr>
                <w:rFonts w:eastAsia="Times New Roman"/>
              </w:rPr>
            </w:pPr>
            <w:r w:rsidRPr="001A6BE1">
              <w:rPr>
                <w:rFonts w:eastAsia="Times New Roman"/>
              </w:rPr>
              <w:t xml:space="preserve">(Working assumption) K0/K2 is no smaller than </w:t>
            </w:r>
            <w:proofErr w:type="gramStart"/>
            <w:r w:rsidRPr="001A6BE1">
              <w:rPr>
                <w:rFonts w:eastAsia="Times New Roman"/>
              </w:rPr>
              <w:t>max(</w:t>
            </w:r>
            <w:proofErr w:type="gramEnd"/>
            <w:r w:rsidRPr="001A6BE1">
              <w:rPr>
                <w:rFonts w:eastAsia="Times New Roman"/>
              </w:rPr>
              <w:t xml:space="preserve">K0min/K2min of source BWP, BWP switch delay) </w:t>
            </w:r>
          </w:p>
          <w:p w14:paraId="29985D6F" w14:textId="77777777" w:rsidR="001A6BE1" w:rsidRPr="001A6BE1" w:rsidRDefault="001A6BE1" w:rsidP="001A6BE1">
            <w:pPr>
              <w:numPr>
                <w:ilvl w:val="1"/>
                <w:numId w:val="41"/>
              </w:numPr>
              <w:overflowPunct/>
              <w:autoSpaceDE/>
              <w:autoSpaceDN/>
              <w:adjustRightInd/>
              <w:spacing w:before="0" w:after="0"/>
              <w:textAlignment w:val="auto"/>
              <w:rPr>
                <w:rFonts w:eastAsia="Times New Roman"/>
              </w:rPr>
            </w:pPr>
            <w:r w:rsidRPr="001A6BE1">
              <w:rPr>
                <w:rFonts w:eastAsia="Times New Roman"/>
              </w:rPr>
              <w:t xml:space="preserve">Numerology conversion is applied to K0min/K2min in case of numerology change between target BWP and source BWP. </w:t>
            </w:r>
          </w:p>
          <w:p w14:paraId="55453ECB" w14:textId="77777777" w:rsidR="001A6BE1" w:rsidRPr="001A6BE1" w:rsidRDefault="001A6BE1" w:rsidP="001A6BE1">
            <w:pPr>
              <w:numPr>
                <w:ilvl w:val="0"/>
                <w:numId w:val="41"/>
              </w:numPr>
              <w:overflowPunct/>
              <w:autoSpaceDE/>
              <w:autoSpaceDN/>
              <w:adjustRightInd/>
              <w:spacing w:before="0" w:after="0"/>
              <w:textAlignment w:val="auto"/>
              <w:rPr>
                <w:rFonts w:eastAsia="Times New Roman"/>
              </w:rPr>
            </w:pPr>
            <w:r w:rsidRPr="001A6BE1">
              <w:rPr>
                <w:rFonts w:eastAsia="Times New Roman"/>
              </w:rPr>
              <w:t>The indicated K0min/K2min of target BWP is always applied starting from the slot of PDSCH or PUSCH scheduled by the DCI</w:t>
            </w:r>
          </w:p>
          <w:p w14:paraId="299FCFD1" w14:textId="5C86D8EC" w:rsidR="001A6BE1" w:rsidRPr="00A77B5E" w:rsidRDefault="001A6BE1" w:rsidP="001A6BE1">
            <w:pPr>
              <w:pStyle w:val="Caption"/>
              <w:numPr>
                <w:ilvl w:val="0"/>
                <w:numId w:val="41"/>
              </w:numPr>
              <w:overflowPunct/>
              <w:autoSpaceDE/>
              <w:adjustRightInd/>
              <w:spacing w:before="0"/>
              <w:textAlignment w:val="auto"/>
              <w:rPr>
                <w:rFonts w:ascii="Calibri" w:hAnsi="Calibri"/>
                <w:b w:val="0"/>
                <w:bCs w:val="0"/>
              </w:rPr>
            </w:pPr>
            <w:r w:rsidRPr="001A6BE1">
              <w:rPr>
                <w:rFonts w:eastAsia="Times New Roman"/>
                <w:b w:val="0"/>
                <w:bCs w:val="0"/>
                <w:highlight w:val="yellow"/>
              </w:rPr>
              <w:t>Clarify the application timing of a K0min/K2min change indicated by a cross-carrier scheduling that is before the DCI indicating active BWP change to a target BWP of different numerology in the scheduling cell.</w:t>
            </w:r>
          </w:p>
        </w:tc>
      </w:tr>
    </w:tbl>
    <w:p w14:paraId="16C9A9D2" w14:textId="21525368" w:rsidR="00B24C48" w:rsidRPr="00B24C48" w:rsidRDefault="00C46261" w:rsidP="007911BD">
      <w:pPr>
        <w:spacing w:before="120"/>
        <w:jc w:val="both"/>
      </w:pPr>
      <w:r>
        <w:t>For the third main bullet highlighted in the above agreement, no consensus was reached during RAN1 #100b-e discussion</w:t>
      </w:r>
      <w:r w:rsidR="00F14476">
        <w:t xml:space="preserve"> </w:t>
      </w:r>
      <w:r w:rsidR="00FD2916">
        <w:fldChar w:fldCharType="begin"/>
      </w:r>
      <w:r w:rsidR="00FD2916">
        <w:instrText xml:space="preserve"> REF _Ref40279445 \r </w:instrText>
      </w:r>
      <w:r w:rsidR="00FD2916">
        <w:fldChar w:fldCharType="separate"/>
      </w:r>
      <w:r w:rsidR="000E7CB9">
        <w:t>[3]</w:t>
      </w:r>
      <w:r w:rsidR="00FD2916">
        <w:fldChar w:fldCharType="end"/>
      </w:r>
      <w:r w:rsidR="006416F7">
        <w:t xml:space="preserve">. </w:t>
      </w:r>
      <w:r w:rsidR="00F037D7">
        <w:t xml:space="preserve">When we continue the discussion in RAN1 #101-e, the draft TP from RAN1 #100-e can be a starting point. </w:t>
      </w:r>
      <w:r w:rsidR="00F70DDA">
        <w:t xml:space="preserve">To address some concerns during RAN1 #100b-e, </w:t>
      </w:r>
      <w:r w:rsidR="00582764">
        <w:t xml:space="preserve">it should be clear from the TP that the conversion of the application delay </w:t>
      </w:r>
      <w:r w:rsidR="00BE45B4">
        <w:t>should only be applicable to the cross-carrier scheduling cases.</w:t>
      </w:r>
    </w:p>
    <w:p w14:paraId="2BC0AF3A" w14:textId="5C7D4F94" w:rsidR="00271960" w:rsidRDefault="00B85172" w:rsidP="007911BD">
      <w:pPr>
        <w:pStyle w:val="Caption"/>
        <w:jc w:val="both"/>
        <w:rPr>
          <w:lang w:val="en-GB"/>
        </w:rPr>
      </w:pPr>
      <w:bookmarkStart w:id="6" w:name="_Toc40464608"/>
      <w:r>
        <w:t xml:space="preserve">Proposal </w:t>
      </w:r>
      <w:r w:rsidR="00FD2916">
        <w:fldChar w:fldCharType="begin"/>
      </w:r>
      <w:r w:rsidR="00FD2916">
        <w:instrText xml:space="preserve"> SEQ Proposal \* ARABIC </w:instrText>
      </w:r>
      <w:r w:rsidR="00FD2916">
        <w:fldChar w:fldCharType="separate"/>
      </w:r>
      <w:r w:rsidR="000E7CB9">
        <w:rPr>
          <w:noProof/>
        </w:rPr>
        <w:t>4</w:t>
      </w:r>
      <w:r w:rsidR="00FD2916">
        <w:rPr>
          <w:noProof/>
        </w:rPr>
        <w:fldChar w:fldCharType="end"/>
      </w:r>
      <w:r>
        <w:t xml:space="preserve">: </w:t>
      </w:r>
      <w:r w:rsidR="004B0090">
        <w:t xml:space="preserve">In the specification (TS 38.214, Section 5.3.1), </w:t>
      </w:r>
      <w:r>
        <w:t xml:space="preserve">the conversion of the application delay </w:t>
      </w:r>
      <w:r w:rsidR="007132A7">
        <w:t>for cross</w:t>
      </w:r>
      <w:r w:rsidR="00BB04ED">
        <w:t xml:space="preserve">-carrier scheduling, </w:t>
      </w:r>
      <w:r>
        <w:t xml:space="preserve">when an active DL BWP change </w:t>
      </w:r>
      <w:r w:rsidR="004B0090">
        <w:t xml:space="preserve">is triggered on the scheduling cell </w:t>
      </w:r>
      <w:r w:rsidR="00BB04ED">
        <w:t>before the application delay ends, should be clarified.</w:t>
      </w:r>
      <w:bookmarkEnd w:id="6"/>
    </w:p>
    <w:p w14:paraId="50F86572" w14:textId="0A9FA9D5" w:rsidR="00271960" w:rsidRDefault="00976148" w:rsidP="007911BD">
      <w:pPr>
        <w:jc w:val="both"/>
        <w:rPr>
          <w:lang w:val="en-GB"/>
        </w:rPr>
      </w:pPr>
      <w:r>
        <w:t>A TP implementing the above proposal is presented in the Appendix section.</w:t>
      </w:r>
    </w:p>
    <w:p w14:paraId="1B10EBB5" w14:textId="12E8542F" w:rsidR="00374C61" w:rsidRDefault="00374C61" w:rsidP="00374C61">
      <w:pPr>
        <w:rPr>
          <w:lang w:val="en-GB"/>
        </w:rPr>
      </w:pPr>
    </w:p>
    <w:p w14:paraId="75F2561A" w14:textId="3200ACE8" w:rsidR="00374C61" w:rsidRDefault="00374C61" w:rsidP="00374C61">
      <w:pPr>
        <w:pStyle w:val="Heading1"/>
      </w:pPr>
      <w:r>
        <w:t>Conclusions</w:t>
      </w:r>
    </w:p>
    <w:p w14:paraId="4DE609F5" w14:textId="77777777" w:rsidR="000E7CB9" w:rsidRDefault="00374C61">
      <w:pPr>
        <w:pStyle w:val="TableofFigures"/>
        <w:tabs>
          <w:tab w:val="right" w:leader="dot" w:pos="9962"/>
        </w:tabs>
        <w:rPr>
          <w:rFonts w:asciiTheme="minorHAnsi" w:eastAsiaTheme="minorEastAsia" w:hAnsiTheme="minorHAnsi" w:cstheme="minorBidi"/>
          <w:noProof/>
          <w:sz w:val="22"/>
          <w:szCs w:val="22"/>
          <w:lang w:eastAsia="ko-KR"/>
        </w:rPr>
      </w:pPr>
      <w:r>
        <w:rPr>
          <w:lang w:val="en-GB"/>
        </w:rPr>
        <w:fldChar w:fldCharType="begin"/>
      </w:r>
      <w:r>
        <w:rPr>
          <w:lang w:val="en-GB"/>
        </w:rPr>
        <w:instrText xml:space="preserve"> TOC \n \h \z \c "Proposal" </w:instrText>
      </w:r>
      <w:r>
        <w:rPr>
          <w:lang w:val="en-GB"/>
        </w:rPr>
        <w:fldChar w:fldCharType="separate"/>
      </w:r>
      <w:hyperlink w:anchor="_Toc40464605" w:history="1">
        <w:r w:rsidR="000E7CB9" w:rsidRPr="00FA7F8C">
          <w:rPr>
            <w:rStyle w:val="Hyperlink"/>
            <w:noProof/>
          </w:rPr>
          <w:t xml:space="preserve">Proposal 1: </w:t>
        </w:r>
        <w:r w:rsidR="000E7CB9" w:rsidRPr="00FA7F8C">
          <w:rPr>
            <w:rStyle w:val="Hyperlink"/>
            <w:noProof/>
            <w:lang w:val="en-GB"/>
          </w:rPr>
          <w:t xml:space="preserve">For application delay determination, if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m:t>
          </m:r>
        </m:oMath>
        <w:r w:rsidR="000E7CB9" w:rsidRPr="00FA7F8C">
          <w:rPr>
            <w:rStyle w:val="Hyperlink"/>
            <w:noProof/>
            <w:lang w:val="en-GB"/>
          </w:rPr>
          <w:t xml:space="preserve"> is not configured for the currently active DL BWP,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minOld</m:t>
          </m:r>
          <m:r>
            <w:rPr>
              <w:rStyle w:val="Hyperlink"/>
              <w:rFonts w:ascii="Cambria Math" w:hAnsi="Cambria Math"/>
              <w:noProof/>
            </w:rPr>
            <m:t>=</m:t>
          </m:r>
          <m:r>
            <m:rPr>
              <m:sty m:val="bi"/>
            </m:rPr>
            <w:rPr>
              <w:rStyle w:val="Hyperlink"/>
              <w:rFonts w:ascii="Cambria Math" w:hAnsi="Cambria Math"/>
              <w:noProof/>
            </w:rPr>
            <m:t>0</m:t>
          </m:r>
        </m:oMath>
        <w:r w:rsidR="000E7CB9" w:rsidRPr="00FA7F8C">
          <w:rPr>
            <w:rStyle w:val="Hyperlink"/>
            <w:noProof/>
            <w:lang w:val="en-GB"/>
          </w:rPr>
          <w:t xml:space="preserve"> is assumed in the expression for application delay determination.</w:t>
        </w:r>
      </w:hyperlink>
    </w:p>
    <w:p w14:paraId="0D18C8A9" w14:textId="77777777" w:rsidR="000E7CB9" w:rsidRDefault="00FD2916">
      <w:pPr>
        <w:pStyle w:val="TableofFigures"/>
        <w:tabs>
          <w:tab w:val="right" w:leader="dot" w:pos="9962"/>
        </w:tabs>
        <w:rPr>
          <w:rFonts w:asciiTheme="minorHAnsi" w:eastAsiaTheme="minorEastAsia" w:hAnsiTheme="minorHAnsi" w:cstheme="minorBidi"/>
          <w:noProof/>
          <w:sz w:val="22"/>
          <w:szCs w:val="22"/>
          <w:lang w:eastAsia="ko-KR"/>
        </w:rPr>
      </w:pPr>
      <w:hyperlink w:anchor="_Toc40464606" w:history="1">
        <w:r w:rsidR="000E7CB9" w:rsidRPr="00FA7F8C">
          <w:rPr>
            <w:rStyle w:val="Hyperlink"/>
            <w:noProof/>
          </w:rPr>
          <w:t xml:space="preserve">Proposal 2: As a rule for deriving a suggested minimum scheduling offset value for cross-carrier scheduling, adding a fixed offset </w:t>
        </w:r>
        <m:oMath>
          <m:r>
            <m:rPr>
              <m:sty m:val="bi"/>
            </m:rPr>
            <w:rPr>
              <w:rStyle w:val="Hyperlink"/>
              <w:rFonts w:ascii="Cambria Math" w:hAnsi="Cambria Math"/>
              <w:noProof/>
            </w:rPr>
            <m:t>δ</m:t>
          </m:r>
        </m:oMath>
        <w:r w:rsidR="000E7CB9" w:rsidRPr="00FA7F8C">
          <w:rPr>
            <w:rStyle w:val="Hyperlink"/>
            <w:iCs/>
            <w:noProof/>
          </w:rPr>
          <w:t xml:space="preserve"> to the suggested value for same-carrier scheduling can be considered.</w:t>
        </w:r>
      </w:hyperlink>
    </w:p>
    <w:p w14:paraId="0AD6A7E8" w14:textId="77777777" w:rsidR="000E7CB9" w:rsidRDefault="00FD2916">
      <w:pPr>
        <w:pStyle w:val="TableofFigures"/>
        <w:tabs>
          <w:tab w:val="right" w:leader="dot" w:pos="9962"/>
        </w:tabs>
        <w:rPr>
          <w:rFonts w:asciiTheme="minorHAnsi" w:eastAsiaTheme="minorEastAsia" w:hAnsiTheme="minorHAnsi" w:cstheme="minorBidi"/>
          <w:noProof/>
          <w:sz w:val="22"/>
          <w:szCs w:val="22"/>
          <w:lang w:eastAsia="ko-KR"/>
        </w:rPr>
      </w:pPr>
      <w:hyperlink w:anchor="_Toc40464607" w:history="1">
        <w:r w:rsidR="000E7CB9" w:rsidRPr="00FA7F8C">
          <w:rPr>
            <w:rStyle w:val="Hyperlink"/>
            <w:noProof/>
          </w:rPr>
          <w:t>Proposal 3: Confirm the working assumption in RAN1 #99 and apply numerology conversion to the application delay based on the numerologies of the scheduling and scheduled cells.</w:t>
        </w:r>
      </w:hyperlink>
    </w:p>
    <w:p w14:paraId="67F41EB5" w14:textId="77777777" w:rsidR="000E7CB9" w:rsidRDefault="00FD2916">
      <w:pPr>
        <w:pStyle w:val="TableofFigures"/>
        <w:tabs>
          <w:tab w:val="right" w:leader="dot" w:pos="9962"/>
        </w:tabs>
        <w:rPr>
          <w:rFonts w:asciiTheme="minorHAnsi" w:eastAsiaTheme="minorEastAsia" w:hAnsiTheme="minorHAnsi" w:cstheme="minorBidi"/>
          <w:noProof/>
          <w:sz w:val="22"/>
          <w:szCs w:val="22"/>
          <w:lang w:eastAsia="ko-KR"/>
        </w:rPr>
      </w:pPr>
      <w:hyperlink w:anchor="_Toc40464608" w:history="1">
        <w:r w:rsidR="000E7CB9" w:rsidRPr="00FA7F8C">
          <w:rPr>
            <w:rStyle w:val="Hyperlink"/>
            <w:noProof/>
          </w:rPr>
          <w:t>Proposal 4: In the specification (TS 38.214, Section 5.3.1), the conversion of the application delay for cross-carrier scheduling, when an active DL BWP change is triggered on the scheduling cell before the application delay ends, should be clarified.</w:t>
        </w:r>
      </w:hyperlink>
    </w:p>
    <w:p w14:paraId="1DFC7AFC" w14:textId="78C8E42A" w:rsidR="00374C61" w:rsidRDefault="00374C61" w:rsidP="00832685">
      <w:pPr>
        <w:jc w:val="both"/>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33FE11A3" w:rsidR="00781C3C" w:rsidRDefault="00781C3C" w:rsidP="004B26B6">
      <w:pPr>
        <w:pStyle w:val="ListParagraph"/>
        <w:numPr>
          <w:ilvl w:val="0"/>
          <w:numId w:val="2"/>
        </w:numPr>
        <w:rPr>
          <w:rFonts w:eastAsia="SimSun"/>
          <w:szCs w:val="20"/>
        </w:rPr>
      </w:pPr>
      <w:bookmarkStart w:id="7" w:name="_Ref21085748"/>
      <w:bookmarkStart w:id="8" w:name="_Ref534216161"/>
      <w:bookmarkStart w:id="9" w:name="_Hlk534618356"/>
      <w:r w:rsidRPr="00781C3C">
        <w:rPr>
          <w:rFonts w:eastAsia="SimSun"/>
          <w:szCs w:val="20"/>
        </w:rPr>
        <w:t>R1-</w:t>
      </w:r>
      <w:r w:rsidR="006146BD" w:rsidRPr="006146BD">
        <w:rPr>
          <w:rFonts w:eastAsia="SimSun"/>
          <w:szCs w:val="20"/>
        </w:rPr>
        <w:t>1912971</w:t>
      </w:r>
      <w:r>
        <w:rPr>
          <w:rFonts w:eastAsia="SimSun"/>
          <w:szCs w:val="20"/>
        </w:rPr>
        <w:t>, “</w:t>
      </w:r>
      <w:r w:rsidRPr="00781C3C">
        <w:rPr>
          <w:rFonts w:eastAsia="SimSun"/>
          <w:szCs w:val="20"/>
        </w:rPr>
        <w:t>Cross-slot scheduling power saving techniques</w:t>
      </w:r>
      <w:r>
        <w:rPr>
          <w:rFonts w:eastAsia="SimSun"/>
          <w:szCs w:val="20"/>
        </w:rPr>
        <w:t>”, RAN1 #9</w:t>
      </w:r>
      <w:r w:rsidR="006146BD">
        <w:rPr>
          <w:rFonts w:eastAsia="SimSun"/>
          <w:szCs w:val="20"/>
        </w:rPr>
        <w:t>9</w:t>
      </w:r>
      <w:r>
        <w:rPr>
          <w:rFonts w:eastAsia="SimSun"/>
          <w:szCs w:val="20"/>
        </w:rPr>
        <w:t>, Qualcomm.</w:t>
      </w:r>
      <w:bookmarkEnd w:id="7"/>
    </w:p>
    <w:p w14:paraId="7C65C33A" w14:textId="7540C2C0" w:rsidR="00467742" w:rsidRDefault="00481799" w:rsidP="004B26B6">
      <w:pPr>
        <w:pStyle w:val="ListParagraph"/>
        <w:numPr>
          <w:ilvl w:val="0"/>
          <w:numId w:val="2"/>
        </w:numPr>
        <w:rPr>
          <w:rFonts w:eastAsia="SimSun"/>
          <w:szCs w:val="20"/>
        </w:rPr>
      </w:pPr>
      <w:bookmarkStart w:id="10" w:name="_Ref21099359"/>
      <w:r w:rsidRPr="00481799">
        <w:rPr>
          <w:rFonts w:eastAsia="SimSun"/>
          <w:szCs w:val="20"/>
        </w:rPr>
        <w:t>R1-191</w:t>
      </w:r>
      <w:r w:rsidR="006146BD">
        <w:rPr>
          <w:rFonts w:eastAsia="SimSun"/>
          <w:szCs w:val="20"/>
        </w:rPr>
        <w:t>3537</w:t>
      </w:r>
      <w:r w:rsidR="00467742">
        <w:rPr>
          <w:rFonts w:eastAsia="SimSun"/>
          <w:szCs w:val="20"/>
        </w:rPr>
        <w:t>, “</w:t>
      </w:r>
      <w:r w:rsidRPr="00481799">
        <w:rPr>
          <w:rFonts w:eastAsia="SimSun"/>
          <w:szCs w:val="20"/>
        </w:rPr>
        <w:t>Offline Summary for Cross-Slot Scheduling Adaptation</w:t>
      </w:r>
      <w:r w:rsidR="00467742">
        <w:rPr>
          <w:rFonts w:eastAsia="SimSun"/>
          <w:szCs w:val="20"/>
        </w:rPr>
        <w:t>”, RAN1 #9</w:t>
      </w:r>
      <w:r w:rsidR="006146BD">
        <w:rPr>
          <w:rFonts w:eastAsia="SimSun"/>
          <w:szCs w:val="20"/>
        </w:rPr>
        <w:t>9</w:t>
      </w:r>
      <w:r w:rsidR="00467742">
        <w:rPr>
          <w:rFonts w:eastAsia="SimSun"/>
          <w:szCs w:val="20"/>
        </w:rPr>
        <w:t xml:space="preserve">, </w:t>
      </w:r>
      <w:proofErr w:type="spellStart"/>
      <w:r w:rsidR="00467742">
        <w:rPr>
          <w:rFonts w:eastAsia="SimSun"/>
          <w:szCs w:val="20"/>
        </w:rPr>
        <w:t>Mediatek</w:t>
      </w:r>
      <w:proofErr w:type="spellEnd"/>
      <w:r w:rsidR="00467742">
        <w:rPr>
          <w:rFonts w:eastAsia="SimSun"/>
          <w:szCs w:val="20"/>
        </w:rPr>
        <w:t>.</w:t>
      </w:r>
      <w:bookmarkEnd w:id="10"/>
    </w:p>
    <w:p w14:paraId="4D367CD4" w14:textId="7FADA7BF" w:rsidR="00151EF0" w:rsidRPr="00F85496" w:rsidRDefault="00151EF0" w:rsidP="004B26B6">
      <w:pPr>
        <w:pStyle w:val="ListParagraph"/>
        <w:numPr>
          <w:ilvl w:val="0"/>
          <w:numId w:val="2"/>
        </w:numPr>
        <w:rPr>
          <w:rFonts w:eastAsia="SimSun"/>
          <w:szCs w:val="20"/>
        </w:rPr>
      </w:pPr>
      <w:bookmarkStart w:id="11" w:name="_Ref40279445"/>
      <w:r>
        <w:rPr>
          <w:rFonts w:eastAsia="SimSun"/>
          <w:szCs w:val="20"/>
        </w:rPr>
        <w:t>R1-2002763, “</w:t>
      </w:r>
      <w:r w:rsidRPr="00151EF0">
        <w:rPr>
          <w:rFonts w:eastAsia="SimSun"/>
          <w:szCs w:val="20"/>
        </w:rPr>
        <w:t>Summary#2 for Procedure of Cross-Slot Scheduling Power Saving Techniques</w:t>
      </w:r>
      <w:r w:rsidR="00F14476">
        <w:rPr>
          <w:rFonts w:eastAsia="SimSun"/>
          <w:szCs w:val="20"/>
        </w:rPr>
        <w:t xml:space="preserve">”, RAN1 #100b-e, </w:t>
      </w:r>
      <w:proofErr w:type="spellStart"/>
      <w:r w:rsidR="00F14476">
        <w:rPr>
          <w:rFonts w:eastAsia="SimSun"/>
          <w:szCs w:val="20"/>
        </w:rPr>
        <w:t>Mediatek</w:t>
      </w:r>
      <w:proofErr w:type="spellEnd"/>
      <w:r w:rsidR="00F14476">
        <w:rPr>
          <w:rFonts w:eastAsia="SimSun"/>
          <w:szCs w:val="20"/>
        </w:rPr>
        <w:t>.</w:t>
      </w:r>
      <w:bookmarkEnd w:id="11"/>
    </w:p>
    <w:bookmarkEnd w:id="8"/>
    <w:bookmarkEnd w:id="9"/>
    <w:p w14:paraId="36B26E55" w14:textId="77777777" w:rsidR="000062DA" w:rsidRDefault="000062DA" w:rsidP="000062DA">
      <w:pPr>
        <w:overflowPunct/>
        <w:autoSpaceDE/>
        <w:autoSpaceDN/>
        <w:adjustRightInd/>
        <w:spacing w:after="0"/>
        <w:textAlignment w:val="auto"/>
        <w:rPr>
          <w:lang w:val="en-GB"/>
        </w:rPr>
      </w:pPr>
    </w:p>
    <w:p w14:paraId="602F9459" w14:textId="4D979283" w:rsidR="00166678" w:rsidRDefault="00166678" w:rsidP="00166678">
      <w:pPr>
        <w:pStyle w:val="Heading1"/>
      </w:pPr>
      <w:r>
        <w:t>Appendix: Text Proposals</w:t>
      </w:r>
    </w:p>
    <w:p w14:paraId="28A31208" w14:textId="396FBEAE" w:rsidR="004C6D45" w:rsidRDefault="004C6D45" w:rsidP="004C6D45">
      <w:r w:rsidRPr="00682FCB">
        <w:t xml:space="preserve">============TP for </w:t>
      </w:r>
      <w:r>
        <w:t xml:space="preserve">TS </w:t>
      </w:r>
      <w:r w:rsidRPr="00682FCB">
        <w:t xml:space="preserve">38.214 Section </w:t>
      </w:r>
      <w:r>
        <w:t>5.3.1=</w:t>
      </w:r>
      <w:r w:rsidRPr="00682FCB">
        <w:t>====================================</w:t>
      </w:r>
    </w:p>
    <w:p w14:paraId="1A76FEFB" w14:textId="75657AA9" w:rsidR="00C5668B" w:rsidRDefault="00C5668B" w:rsidP="00C5668B">
      <w:pPr>
        <w:rPr>
          <w:color w:val="FFC000"/>
        </w:rPr>
      </w:pPr>
      <w:r w:rsidRPr="0015001F">
        <w:rPr>
          <w:color w:val="FFC000"/>
        </w:rPr>
        <w:t>--Unchanged part omitted------------------------</w:t>
      </w:r>
    </w:p>
    <w:p w14:paraId="4C0671D8" w14:textId="37F6D547" w:rsidR="003A55F3" w:rsidRDefault="003A55F3" w:rsidP="003A55F3">
      <w:r>
        <w:t>When the UE is scheduled with DCI format 0_1 or 1_1 with a ‘Minimum applicable scheduling offset indicator’</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 xml:space="preserve">minimum scheduling </w:t>
      </w:r>
      <w:r w:rsidRPr="00914D66">
        <w:lastRenderedPageBreak/>
        <w:t>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FF0000"/>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r w:rsidR="00D0050D">
        <w:rPr>
          <w:color w:val="000000" w:themeColor="text1"/>
        </w:rPr>
        <w:t xml:space="preserve"> </w:t>
      </w:r>
      <w:r w:rsidR="00D0050D" w:rsidRPr="00D0050D">
        <w:rPr>
          <w:color w:val="FF0000"/>
        </w:rPr>
        <w:t xml:space="preserve">The </w:t>
      </w:r>
      <w:r w:rsidR="00D0050D" w:rsidRPr="00371528">
        <w:rPr>
          <w:color w:val="FF0000"/>
        </w:rPr>
        <w:t xml:space="preserve">slot </w:t>
      </w:r>
      <w:proofErr w:type="spellStart"/>
      <w:r w:rsidR="00D0050D" w:rsidRPr="00371528">
        <w:rPr>
          <w:i/>
          <w:color w:val="FF0000"/>
        </w:rPr>
        <w:t>n</w:t>
      </w:r>
      <w:r w:rsidR="00D0050D" w:rsidRPr="00371528">
        <w:rPr>
          <w:color w:val="FF0000"/>
        </w:rPr>
        <w:t>+</w:t>
      </w:r>
      <w:r w:rsidR="00D0050D" w:rsidRPr="00371528">
        <w:rPr>
          <w:i/>
          <w:color w:val="FF0000"/>
        </w:rPr>
        <w:t>X</w:t>
      </w:r>
      <w:proofErr w:type="spellEnd"/>
      <w:r w:rsidR="00D0050D" w:rsidRPr="00371528">
        <w:rPr>
          <w:i/>
          <w:color w:val="FF0000"/>
        </w:rPr>
        <w:t xml:space="preserve"> </w:t>
      </w:r>
      <w:r w:rsidR="00A3748F" w:rsidRPr="00371528">
        <w:rPr>
          <w:iCs/>
          <w:color w:val="FF0000"/>
        </w:rPr>
        <w:t xml:space="preserve">is converted to </w:t>
      </w:r>
      <m:oMath>
        <m:d>
          <m:dPr>
            <m:begChr m:val="⌈"/>
            <m:endChr m:val="⌉"/>
            <m:ctrlPr>
              <w:rPr>
                <w:rFonts w:ascii="Cambria Math" w:hAnsi="Cambria Math"/>
                <w:iCs/>
                <w:color w:val="FF0000"/>
              </w:rPr>
            </m:ctrlPr>
          </m:dPr>
          <m:e>
            <m:d>
              <m:dPr>
                <m:ctrlPr>
                  <w:rPr>
                    <w:rFonts w:ascii="Cambria Math" w:hAnsi="Cambria Math"/>
                    <w:i/>
                    <w:iCs/>
                    <w:color w:val="FF0000"/>
                  </w:rPr>
                </m:ctrlPr>
              </m:dPr>
              <m:e>
                <m:r>
                  <w:rPr>
                    <w:rFonts w:ascii="Cambria Math" w:hAnsi="Cambria Math"/>
                    <w:color w:val="FF0000"/>
                  </w:rPr>
                  <m:t>n+X</m:t>
                </m:r>
              </m:e>
            </m:d>
            <m: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bSup>
                      <m:sSubSupPr>
                        <m:ctrlPr>
                          <w:rPr>
                            <w:rFonts w:ascii="Cambria Math" w:hAnsi="Cambria Math"/>
                            <w:i/>
                            <w:iCs/>
                            <w:color w:val="FF0000"/>
                          </w:rPr>
                        </m:ctrlPr>
                      </m:sSubSupPr>
                      <m:e>
                        <m:r>
                          <w:rPr>
                            <w:rFonts w:ascii="Cambria Math" w:hAnsi="Cambria Math"/>
                            <w:color w:val="FF0000"/>
                          </w:rPr>
                          <m:t>μ</m:t>
                        </m:r>
                      </m:e>
                      <m:sub>
                        <m:r>
                          <m:rPr>
                            <m:sty m:val="p"/>
                          </m:rPr>
                          <w:rPr>
                            <w:rFonts w:ascii="Cambria Math" w:hAnsi="Cambria Math"/>
                            <w:color w:val="FF0000"/>
                          </w:rPr>
                          <m:t>scheduling</m:t>
                        </m:r>
                      </m:sub>
                      <m:sup>
                        <m:r>
                          <w:rPr>
                            <w:rFonts w:ascii="Cambria Math" w:hAnsi="Cambria Math"/>
                            <w:color w:val="FF0000"/>
                          </w:rPr>
                          <m:t>'</m:t>
                        </m:r>
                      </m:sup>
                    </m:sSubSup>
                  </m:sup>
                </m:sSup>
              </m:num>
              <m:den>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iCs/>
                            <w:color w:val="FF0000"/>
                          </w:rPr>
                        </m:ctrlPr>
                      </m:sSubPr>
                      <m:e>
                        <m:r>
                          <w:rPr>
                            <w:rFonts w:ascii="Cambria Math" w:hAnsi="Cambria Math"/>
                            <w:color w:val="FF0000"/>
                          </w:rPr>
                          <m:t>μ</m:t>
                        </m:r>
                      </m:e>
                      <m:sub>
                        <m:r>
                          <m:rPr>
                            <m:sty m:val="p"/>
                          </m:rPr>
                          <w:rPr>
                            <w:rFonts w:ascii="Cambria Math" w:hAnsi="Cambria Math"/>
                            <w:color w:val="FF0000"/>
                          </w:rPr>
                          <m:t>scheduling</m:t>
                        </m:r>
                      </m:sub>
                    </m:sSub>
                  </m:sup>
                </m:sSup>
              </m:den>
            </m:f>
          </m:e>
        </m:d>
      </m:oMath>
      <w:r w:rsidR="00A3748F" w:rsidRPr="00371528">
        <w:rPr>
          <w:iCs/>
          <w:color w:val="FF0000"/>
        </w:rPr>
        <w:t>, if needed</w:t>
      </w:r>
      <w:r w:rsidR="00B939E6" w:rsidRPr="00371528">
        <w:rPr>
          <w:iCs/>
          <w:color w:val="FF0000"/>
        </w:rPr>
        <w:t>,</w:t>
      </w:r>
      <w:r w:rsidR="009336F4" w:rsidRPr="00371528">
        <w:rPr>
          <w:iCs/>
          <w:color w:val="FF0000"/>
        </w:rPr>
        <w:t xml:space="preserve"> after</w:t>
      </w:r>
      <w:r w:rsidR="00B939E6" w:rsidRPr="00371528">
        <w:rPr>
          <w:iCs/>
          <w:color w:val="FF0000"/>
        </w:rPr>
        <w:t xml:space="preserve"> an</w:t>
      </w:r>
      <w:r w:rsidR="009336F4" w:rsidRPr="00371528">
        <w:rPr>
          <w:iCs/>
          <w:color w:val="FF0000"/>
        </w:rPr>
        <w:t xml:space="preserve"> active DL BWP change in the scheduling cell</w:t>
      </w:r>
      <w:r w:rsidR="00692B2A" w:rsidRPr="00371528">
        <w:rPr>
          <w:iCs/>
          <w:color w:val="FF0000"/>
        </w:rPr>
        <w:t xml:space="preserve"> that is triggered by another DCI</w:t>
      </w:r>
      <w:r w:rsidR="00B939E6" w:rsidRPr="00371528">
        <w:rPr>
          <w:iCs/>
          <w:color w:val="FF0000"/>
        </w:rPr>
        <w:t xml:space="preserve"> at or after slot </w:t>
      </w:r>
      <w:r w:rsidR="00B939E6" w:rsidRPr="00371528">
        <w:rPr>
          <w:i/>
          <w:color w:val="FF0000"/>
        </w:rPr>
        <w:t>n</w:t>
      </w:r>
      <w:r w:rsidR="00692B2A" w:rsidRPr="00371528">
        <w:rPr>
          <w:iCs/>
          <w:color w:val="FF0000"/>
        </w:rPr>
        <w:t xml:space="preserve">, where </w:t>
      </w:r>
      <m:oMath>
        <m:sSub>
          <m:sSubPr>
            <m:ctrlPr>
              <w:rPr>
                <w:rFonts w:ascii="Cambria Math" w:hAnsi="Cambria Math"/>
                <w:i/>
                <w:color w:val="FF0000"/>
              </w:rPr>
            </m:ctrlPr>
          </m:sSubPr>
          <m:e>
            <m:r>
              <w:rPr>
                <w:rFonts w:ascii="Cambria Math" w:hAnsi="Cambria Math"/>
                <w:color w:val="FF0000"/>
              </w:rPr>
              <m:t>μ</m:t>
            </m:r>
          </m:e>
          <m:sub>
            <m:r>
              <m:rPr>
                <m:sty m:val="p"/>
              </m:rPr>
              <w:rPr>
                <w:rFonts w:ascii="Cambria Math" w:hAnsi="Cambria Math"/>
                <w:color w:val="FF0000"/>
              </w:rPr>
              <m:t>scheduling</m:t>
            </m:r>
          </m:sub>
        </m:sSub>
      </m:oMath>
      <w:r w:rsidR="0040773D" w:rsidRPr="00371528">
        <w:rPr>
          <w:color w:val="FF0000"/>
        </w:rPr>
        <w:t xml:space="preserve"> is the numerology of the active DL BWP of the scheduling cell</w:t>
      </w:r>
      <w:r w:rsidR="00355A42" w:rsidRPr="00371528">
        <w:rPr>
          <w:color w:val="FF0000"/>
        </w:rPr>
        <w:t xml:space="preserve"> when receiving the DCI in slot </w:t>
      </w:r>
      <w:r w:rsidR="00355A42" w:rsidRPr="00371528">
        <w:rPr>
          <w:i/>
          <w:iCs/>
          <w:color w:val="FF0000"/>
        </w:rPr>
        <w:t>n</w:t>
      </w:r>
      <w:r w:rsidR="00355A42" w:rsidRPr="00371528">
        <w:rPr>
          <w:color w:val="FF0000"/>
        </w:rPr>
        <w:t xml:space="preserve">, and </w:t>
      </w:r>
      <m:oMath>
        <m:sSubSup>
          <m:sSubSupPr>
            <m:ctrlPr>
              <w:rPr>
                <w:rFonts w:ascii="Cambria Math" w:hAnsi="Cambria Math"/>
                <w:i/>
                <w:color w:val="FF0000"/>
              </w:rPr>
            </m:ctrlPr>
          </m:sSubSupPr>
          <m:e>
            <m:r>
              <w:rPr>
                <w:rFonts w:ascii="Cambria Math" w:hAnsi="Cambria Math"/>
                <w:color w:val="FF0000"/>
              </w:rPr>
              <m:t>μ</m:t>
            </m:r>
            <m:ctrlPr>
              <w:rPr>
                <w:rFonts w:ascii="Cambria Math" w:hAnsi="Cambria Math"/>
                <w:color w:val="FF0000"/>
              </w:rPr>
            </m:ctrlPr>
          </m:e>
          <m:sub>
            <m:r>
              <m:rPr>
                <m:sty m:val="p"/>
              </m:rPr>
              <w:rPr>
                <w:rFonts w:ascii="Cambria Math" w:hAnsi="Cambria Math"/>
                <w:color w:val="FF0000"/>
              </w:rPr>
              <m:t>scheduling</m:t>
            </m:r>
          </m:sub>
          <m:sup>
            <m:r>
              <w:rPr>
                <w:rFonts w:ascii="Cambria Math" w:hAnsi="Cambria Math"/>
                <w:color w:val="FF0000"/>
              </w:rPr>
              <m:t>'</m:t>
            </m:r>
          </m:sup>
        </m:sSubSup>
      </m:oMath>
      <w:r w:rsidR="00E259A0" w:rsidRPr="00371528">
        <w:rPr>
          <w:color w:val="FF0000"/>
        </w:rPr>
        <w:t xml:space="preserve"> is the numerology of the new active BWP of the scheduling cell.</w:t>
      </w:r>
    </w:p>
    <w:p w14:paraId="42264E69" w14:textId="43CDD5CF" w:rsidR="00CB65DE" w:rsidRDefault="00CB65DE" w:rsidP="00CB65DE">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PDCCH</m:t>
                                </m:r>
                              </m:sub>
                            </m:sSub>
                            <m:sSub>
                              <m:sSubPr>
                                <m:ctrlPr>
                                  <w:rPr>
                                    <w:rFonts w:ascii="Cambria Math" w:hAnsi="Cambria Math"/>
                                    <w:i/>
                                    <w:color w:val="FF0000"/>
                                  </w:rPr>
                                </m:ctrlPr>
                              </m:sSubPr>
                              <m:e>
                                <m:r>
                                  <w:rPr>
                                    <w:rFonts w:ascii="Cambria Math" w:hAnsi="Cambria Math"/>
                                    <w:color w:val="FF0000"/>
                                  </w:rPr>
                                  <m:t>μ</m:t>
                                </m:r>
                              </m:e>
                              <m:sub>
                                <m:r>
                                  <m:rPr>
                                    <m:sty m:val="p"/>
                                  </m:rPr>
                                  <w:rPr>
                                    <w:rFonts w:ascii="Cambria Math" w:hAnsi="Cambria Math"/>
                                    <w:color w:val="FF0000"/>
                                  </w:rPr>
                                  <m:t>scheduling</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PDSCH</m:t>
                                </m:r>
                              </m:sub>
                            </m:sSub>
                            <m:sSub>
                              <m:sSubPr>
                                <m:ctrlPr>
                                  <w:rPr>
                                    <w:rFonts w:ascii="Cambria Math" w:hAnsi="Cambria Math"/>
                                    <w:i/>
                                    <w:color w:val="FF0000"/>
                                  </w:rPr>
                                </m:ctrlPr>
                              </m:sSubPr>
                              <m:e>
                                <m:r>
                                  <w:rPr>
                                    <w:rFonts w:ascii="Cambria Math" w:hAnsi="Cambria Math"/>
                                    <w:color w:val="FF0000"/>
                                  </w:rPr>
                                  <m:t>μ</m:t>
                                </m:r>
                              </m:e>
                              <m:sub>
                                <m:r>
                                  <m:rPr>
                                    <m:sty m:val="p"/>
                                  </m:rPr>
                                  <w:rPr>
                                    <w:rFonts w:ascii="Cambria Math" w:hAnsi="Cambria Math"/>
                                    <w:color w:val="FF0000"/>
                                  </w:rPr>
                                  <m:t>scheduled</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00C16ADB" w:rsidRPr="005D6E4D">
        <w:t xml:space="preserve">where  </w:t>
      </w:r>
      <w:r w:rsidR="00C16ADB" w:rsidRPr="005D6E4D">
        <w:rPr>
          <w:i/>
        </w:rPr>
        <w:t>K</w:t>
      </w:r>
      <w:r w:rsidR="00C16ADB" w:rsidRPr="005D6E4D">
        <w:rPr>
          <w:vertAlign w:val="subscript"/>
        </w:rPr>
        <w:t>0minOld</w:t>
      </w:r>
      <w:r w:rsidR="00C16ADB" w:rsidRPr="005D6E4D">
        <w:t xml:space="preserve"> </w:t>
      </w:r>
      <w:r w:rsidR="00C16ADB" w:rsidRPr="00C16ADB">
        <w:rPr>
          <w:strike/>
          <w:color w:val="FF0000"/>
        </w:rPr>
        <w:t>is</w:t>
      </w:r>
      <w:r w:rsidR="00C16ADB" w:rsidRPr="00C16ADB">
        <w:rPr>
          <w:color w:val="FF0000"/>
        </w:rPr>
        <w:t xml:space="preserve"> and </w:t>
      </w:r>
      <m:oMath>
        <m:sSub>
          <m:sSubPr>
            <m:ctrlPr>
              <w:rPr>
                <w:rFonts w:ascii="Cambria Math" w:hAnsi="Cambria Math"/>
                <w:i/>
                <w:iCs/>
                <w:color w:val="FF0000"/>
              </w:rPr>
            </m:ctrlPr>
          </m:sSubPr>
          <m:e>
            <m:r>
              <w:rPr>
                <w:rFonts w:ascii="Cambria Math" w:hAnsi="Cambria Math"/>
                <w:color w:val="FF0000"/>
              </w:rPr>
              <m:t>μ</m:t>
            </m:r>
          </m:e>
          <m:sub>
            <m:r>
              <m:rPr>
                <m:sty m:val="p"/>
              </m:rPr>
              <w:rPr>
                <w:rFonts w:ascii="Cambria Math" w:hAnsi="Cambria Math"/>
                <w:color w:val="FF0000"/>
              </w:rPr>
              <m:t>scheduled</m:t>
            </m:r>
          </m:sub>
        </m:sSub>
      </m:oMath>
      <w:r w:rsidR="00C16ADB" w:rsidRPr="00C16ADB">
        <w:rPr>
          <w:color w:val="FF0000"/>
        </w:rPr>
        <w:t xml:space="preserve"> are </w:t>
      </w:r>
      <w:r w:rsidR="00C16ADB" w:rsidRPr="005D6E4D">
        <w:t xml:space="preserve">the currently applied </w:t>
      </w:r>
      <w:r w:rsidR="00C16ADB" w:rsidRPr="00A07055">
        <w:rPr>
          <w:i/>
        </w:rPr>
        <w:t>K</w:t>
      </w:r>
      <w:r w:rsidR="00C16ADB" w:rsidRPr="00A07055">
        <w:rPr>
          <w:vertAlign w:val="subscript"/>
        </w:rPr>
        <w:t>0min</w:t>
      </w:r>
      <w:r w:rsidR="00C16ADB" w:rsidRPr="00A07055">
        <w:t xml:space="preserve"> value </w:t>
      </w:r>
      <w:r w:rsidR="00C16ADB" w:rsidRPr="00C16ADB">
        <w:rPr>
          <w:color w:val="FF0000"/>
        </w:rPr>
        <w:t xml:space="preserve">and the numerology </w:t>
      </w:r>
      <w:r w:rsidR="00C16ADB" w:rsidRPr="005D6E4D">
        <w:t xml:space="preserve">of the active DL BWP in the scheduled cell, </w:t>
      </w:r>
      <w:r w:rsidR="00C16ADB" w:rsidRPr="00C16ADB">
        <w:rPr>
          <w:color w:val="FF0000"/>
        </w:rPr>
        <w:t xml:space="preserve">respectively, and </w:t>
      </w:r>
      <m:oMath>
        <m:sSub>
          <m:sSubPr>
            <m:ctrlPr>
              <w:rPr>
                <w:rFonts w:ascii="Cambria Math" w:hAnsi="Cambria Math"/>
                <w:color w:val="FF0000"/>
              </w:rPr>
            </m:ctrlPr>
          </m:sSubPr>
          <m:e>
            <m:r>
              <w:rPr>
                <w:rFonts w:ascii="Cambria Math" w:hAnsi="Cambria Math"/>
                <w:color w:val="FF0000"/>
              </w:rPr>
              <m:t>μ</m:t>
            </m:r>
            <m:ctrlPr>
              <w:rPr>
                <w:rFonts w:ascii="Cambria Math" w:hAnsi="Cambria Math"/>
                <w:i/>
                <w:iCs/>
                <w:color w:val="FF0000"/>
              </w:rPr>
            </m:ctrlPr>
          </m:e>
          <m:sub>
            <m:r>
              <m:rPr>
                <m:sty m:val="p"/>
              </m:rPr>
              <w:rPr>
                <w:rFonts w:ascii="Cambria Math" w:hAnsi="Cambria Math"/>
                <w:color w:val="FF0000"/>
              </w:rPr>
              <m:t>scheduling</m:t>
            </m:r>
          </m:sub>
        </m:sSub>
      </m:oMath>
      <w:r w:rsidR="00C16ADB" w:rsidRPr="00C16ADB">
        <w:rPr>
          <w:color w:val="FF0000"/>
        </w:rPr>
        <w:t xml:space="preserve"> is the numerology of the active DL BWP of the scheduling cell,</w:t>
      </w:r>
      <w:r w:rsidR="000C5023">
        <w:rPr>
          <w:color w:val="FF0000"/>
        </w:rPr>
        <w:t xml:space="preserve"> </w:t>
      </w:r>
      <w:r w:rsidR="000C5023" w:rsidRPr="005D6E4D">
        <w:t xml:space="preserve">and </w:t>
      </w:r>
      <w:r w:rsidR="000C5023" w:rsidRPr="005D6E4D">
        <w:rPr>
          <w:i/>
        </w:rPr>
        <w:t>Z</w:t>
      </w:r>
      <w:r w:rsidR="000C5023" w:rsidRPr="005D6E4D">
        <w:rPr>
          <w:i/>
          <w:vertAlign w:val="subscript"/>
        </w:rPr>
        <w:t>µ</w:t>
      </w:r>
      <w:r w:rsidR="000C5023" w:rsidRPr="005D6E4D">
        <w:t xml:space="preserve"> is determined by the subcarrier spacing of the active DL BWP in the schedul</w:t>
      </w:r>
      <w:r w:rsidR="000C5023">
        <w:t>ing</w:t>
      </w:r>
      <w:r w:rsidR="000C5023" w:rsidRPr="005D6E4D">
        <w:t xml:space="preserve"> cell, and given in Table </w:t>
      </w:r>
      <w:r w:rsidR="000C5023">
        <w:t>5</w:t>
      </w:r>
      <w:r w:rsidR="000C5023" w:rsidRPr="005D6E4D">
        <w:t>.</w:t>
      </w:r>
      <w:r w:rsidR="000C5023">
        <w:t>3</w:t>
      </w:r>
      <w:r w:rsidR="000C5023" w:rsidRPr="005D6E4D">
        <w:t xml:space="preserve">.1-1 </w:t>
      </w:r>
      <w:r w:rsidR="000C5023" w:rsidRPr="005D7778">
        <w:rPr>
          <w:strike/>
          <w:color w:val="FF0000"/>
        </w:rPr>
        <w:t xml:space="preserve">and </w:t>
      </w:r>
      <w:r w:rsidR="000C5023" w:rsidRPr="005D7778">
        <w:rPr>
          <w:i/>
          <w:strike/>
          <w:color w:val="FF0000"/>
        </w:rPr>
        <w:t>µ</w:t>
      </w:r>
      <w:r w:rsidR="000C5023" w:rsidRPr="005D7778">
        <w:rPr>
          <w:strike/>
          <w:color w:val="FF0000"/>
          <w:vertAlign w:val="subscript"/>
        </w:rPr>
        <w:t>PDCCH</w:t>
      </w:r>
      <w:r w:rsidR="000C5023" w:rsidRPr="005D7778">
        <w:rPr>
          <w:strike/>
          <w:color w:val="FF0000"/>
        </w:rPr>
        <w:t xml:space="preserve"> and </w:t>
      </w:r>
      <w:r w:rsidR="000C5023" w:rsidRPr="005D7778">
        <w:rPr>
          <w:i/>
          <w:strike/>
          <w:color w:val="FF0000"/>
        </w:rPr>
        <w:t>µ</w:t>
      </w:r>
      <w:r w:rsidR="000C5023" w:rsidRPr="005D7778">
        <w:rPr>
          <w:strike/>
          <w:color w:val="FF0000"/>
          <w:vertAlign w:val="subscript"/>
        </w:rPr>
        <w:t>PDSCH</w:t>
      </w:r>
      <w:r w:rsidR="000C5023" w:rsidRPr="005D7778">
        <w:rPr>
          <w:strike/>
          <w:color w:val="FF0000"/>
        </w:rPr>
        <w:t xml:space="preserve"> are the sub-carrier spacing configurations for PDCCH and PDSCH, respectively</w:t>
      </w:r>
      <w:r w:rsidR="000C5023">
        <w:t xml:space="preserve">. </w:t>
      </w:r>
      <w:r w:rsidR="00A71E51" w:rsidRPr="008E61FC">
        <w:rPr>
          <w:color w:val="FF0000"/>
        </w:rPr>
        <w:t xml:space="preserve">If </w:t>
      </w:r>
      <w:r w:rsidR="00A71E51" w:rsidRPr="008E61FC">
        <w:rPr>
          <w:i/>
          <w:color w:val="FF0000"/>
        </w:rPr>
        <w:t>K</w:t>
      </w:r>
      <w:r w:rsidR="00A71E51" w:rsidRPr="008E61FC">
        <w:rPr>
          <w:color w:val="FF0000"/>
          <w:vertAlign w:val="subscript"/>
        </w:rPr>
        <w:t>0min</w:t>
      </w:r>
      <w:r w:rsidR="00A71E51" w:rsidRPr="008E61FC">
        <w:rPr>
          <w:color w:val="FF0000"/>
        </w:rPr>
        <w:t xml:space="preserve"> value is not configured for the active DL BWP in the scheduled cell, </w:t>
      </w:r>
      <w:r w:rsidR="00A71E51" w:rsidRPr="008E61FC">
        <w:rPr>
          <w:i/>
          <w:color w:val="FF0000"/>
        </w:rPr>
        <w:t>K</w:t>
      </w:r>
      <w:r w:rsidR="00A71E51" w:rsidRPr="008E61FC">
        <w:rPr>
          <w:color w:val="FF0000"/>
          <w:vertAlign w:val="subscript"/>
        </w:rPr>
        <w:t>0minOld</w:t>
      </w:r>
      <w:r w:rsidR="00A71E51" w:rsidRPr="008E61FC">
        <w:rPr>
          <w:color w:val="FF0000"/>
        </w:rPr>
        <w:t xml:space="preserve"> is assumed to take the value zero</w:t>
      </w:r>
      <w:r w:rsidR="00F01FC3">
        <w:rPr>
          <w:color w:val="FF0000"/>
        </w:rPr>
        <w:t>.</w:t>
      </w:r>
      <w:r w:rsidR="00A71E51">
        <w:t xml:space="preserve"> </w:t>
      </w:r>
    </w:p>
    <w:p w14:paraId="529AE9BC" w14:textId="77777777" w:rsidR="00CB65DE" w:rsidRPr="003C6FC4" w:rsidRDefault="00CB65DE" w:rsidP="00CB65DE">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1C05B81A" w14:textId="77777777" w:rsidR="00CB65DE" w:rsidRPr="00A76863" w:rsidRDefault="00CB65DE" w:rsidP="00CB65DE">
      <w:pPr>
        <w:pStyle w:val="TH"/>
        <w:rPr>
          <w:i/>
          <w:color w:val="000000"/>
        </w:rPr>
      </w:pPr>
      <w:r w:rsidRPr="002F5327">
        <w:rPr>
          <w:color w:val="000000"/>
        </w:rPr>
        <w:t xml:space="preserve">Table </w:t>
      </w:r>
      <w:r>
        <w:rPr>
          <w:color w:val="000000"/>
        </w:rPr>
        <w:t>5</w:t>
      </w:r>
      <w:r w:rsidRPr="002F5327">
        <w:rPr>
          <w:color w:val="000000"/>
        </w:rPr>
        <w:t>.</w:t>
      </w:r>
      <w:r>
        <w:rPr>
          <w:color w:val="000000"/>
        </w:rPr>
        <w:t>3.1</w:t>
      </w:r>
      <w:r w:rsidRPr="002F5327">
        <w:rPr>
          <w:color w:val="000000"/>
        </w:rPr>
        <w:t>-</w:t>
      </w:r>
      <w:r>
        <w:rPr>
          <w:color w:val="000000"/>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B65DE" w:rsidRPr="00A90858" w14:paraId="3C681E5D" w14:textId="77777777" w:rsidTr="00FB776C">
        <w:trPr>
          <w:trHeight w:val="89"/>
          <w:jc w:val="center"/>
        </w:trPr>
        <w:tc>
          <w:tcPr>
            <w:tcW w:w="846" w:type="dxa"/>
          </w:tcPr>
          <w:p w14:paraId="22747904" w14:textId="77777777" w:rsidR="00CB65DE" w:rsidRPr="0084477B" w:rsidRDefault="00CB65DE" w:rsidP="00FB776C">
            <w:pPr>
              <w:pStyle w:val="TAH"/>
              <w:rPr>
                <w:rFonts w:eastAsia="Batang"/>
                <w:color w:val="000000"/>
              </w:rPr>
            </w:pPr>
            <w:r w:rsidRPr="00F5493A">
              <w:rPr>
                <w:i/>
              </w:rPr>
              <w:t>µ</w:t>
            </w:r>
          </w:p>
        </w:tc>
        <w:tc>
          <w:tcPr>
            <w:tcW w:w="850" w:type="dxa"/>
          </w:tcPr>
          <w:p w14:paraId="69535170" w14:textId="77777777" w:rsidR="00CB65DE" w:rsidRPr="00026F1D" w:rsidRDefault="00CB65DE" w:rsidP="00FB776C">
            <w:pPr>
              <w:pStyle w:val="TAH"/>
              <w:rPr>
                <w:rFonts w:eastAsia="Batang"/>
                <w:i/>
                <w:color w:val="000000"/>
              </w:rPr>
            </w:pPr>
            <w:r>
              <w:rPr>
                <w:i/>
              </w:rPr>
              <w:t>Z</w:t>
            </w:r>
            <w:r w:rsidRPr="00C70C1D">
              <w:rPr>
                <w:i/>
                <w:vertAlign w:val="subscript"/>
              </w:rPr>
              <w:t>µ</w:t>
            </w:r>
          </w:p>
        </w:tc>
      </w:tr>
      <w:tr w:rsidR="00CB65DE" w:rsidRPr="00A90858" w14:paraId="7DA20962" w14:textId="77777777" w:rsidTr="00FB776C">
        <w:trPr>
          <w:jc w:val="center"/>
        </w:trPr>
        <w:tc>
          <w:tcPr>
            <w:tcW w:w="846" w:type="dxa"/>
          </w:tcPr>
          <w:p w14:paraId="0161A61D" w14:textId="77777777" w:rsidR="00CB65DE" w:rsidRPr="00A90858" w:rsidRDefault="00CB65DE" w:rsidP="00FB776C">
            <w:pPr>
              <w:pStyle w:val="TAC"/>
              <w:rPr>
                <w:rFonts w:eastAsia="Batang"/>
              </w:rPr>
            </w:pPr>
            <w:r w:rsidRPr="00A90858">
              <w:rPr>
                <w:rFonts w:eastAsia="Batang"/>
              </w:rPr>
              <w:t>0</w:t>
            </w:r>
          </w:p>
        </w:tc>
        <w:tc>
          <w:tcPr>
            <w:tcW w:w="850" w:type="dxa"/>
          </w:tcPr>
          <w:p w14:paraId="1A2E4F39" w14:textId="1A85D393" w:rsidR="00CB65DE" w:rsidRPr="00A90858" w:rsidRDefault="00CB65DE" w:rsidP="00FB776C">
            <w:pPr>
              <w:pStyle w:val="TAC"/>
              <w:rPr>
                <w:rFonts w:eastAsia="Batang"/>
              </w:rPr>
            </w:pPr>
            <w:r>
              <w:rPr>
                <w:rFonts w:eastAsia="Batang"/>
              </w:rPr>
              <w:t>1</w:t>
            </w:r>
          </w:p>
        </w:tc>
      </w:tr>
      <w:tr w:rsidR="00CB65DE" w:rsidRPr="00A90858" w14:paraId="1506A90A" w14:textId="77777777" w:rsidTr="00FB776C">
        <w:trPr>
          <w:jc w:val="center"/>
        </w:trPr>
        <w:tc>
          <w:tcPr>
            <w:tcW w:w="846" w:type="dxa"/>
          </w:tcPr>
          <w:p w14:paraId="4C4EEB7A" w14:textId="77777777" w:rsidR="00CB65DE" w:rsidRPr="00A90858" w:rsidRDefault="00CB65DE" w:rsidP="00FB776C">
            <w:pPr>
              <w:pStyle w:val="TAC"/>
              <w:rPr>
                <w:rFonts w:eastAsia="Batang"/>
              </w:rPr>
            </w:pPr>
            <w:r>
              <w:rPr>
                <w:rFonts w:eastAsia="Batang"/>
              </w:rPr>
              <w:t>1</w:t>
            </w:r>
          </w:p>
        </w:tc>
        <w:tc>
          <w:tcPr>
            <w:tcW w:w="850" w:type="dxa"/>
          </w:tcPr>
          <w:p w14:paraId="0AAC74BA" w14:textId="7BB99B40" w:rsidR="00CB65DE" w:rsidRPr="00A90858" w:rsidRDefault="00CB65DE" w:rsidP="00FB776C">
            <w:pPr>
              <w:pStyle w:val="TAC"/>
              <w:rPr>
                <w:rFonts w:eastAsia="Batang"/>
              </w:rPr>
            </w:pPr>
            <w:r>
              <w:rPr>
                <w:rFonts w:eastAsia="Batang"/>
              </w:rPr>
              <w:t>1</w:t>
            </w:r>
          </w:p>
        </w:tc>
      </w:tr>
      <w:tr w:rsidR="00CB65DE" w:rsidRPr="00A90858" w14:paraId="047598EC" w14:textId="77777777" w:rsidTr="00FB776C">
        <w:trPr>
          <w:jc w:val="center"/>
        </w:trPr>
        <w:tc>
          <w:tcPr>
            <w:tcW w:w="846" w:type="dxa"/>
          </w:tcPr>
          <w:p w14:paraId="3B8F9137" w14:textId="77777777" w:rsidR="00CB65DE" w:rsidRDefault="00CB65DE" w:rsidP="00FB776C">
            <w:pPr>
              <w:pStyle w:val="TAC"/>
              <w:rPr>
                <w:rFonts w:eastAsia="Batang"/>
              </w:rPr>
            </w:pPr>
            <w:r>
              <w:rPr>
                <w:rFonts w:eastAsia="Batang"/>
              </w:rPr>
              <w:t>2</w:t>
            </w:r>
          </w:p>
        </w:tc>
        <w:tc>
          <w:tcPr>
            <w:tcW w:w="850" w:type="dxa"/>
          </w:tcPr>
          <w:p w14:paraId="0DC2C7BF" w14:textId="600A06F4" w:rsidR="00CB65DE" w:rsidRDefault="00CB65DE" w:rsidP="00FB776C">
            <w:pPr>
              <w:pStyle w:val="TAC"/>
              <w:rPr>
                <w:rFonts w:eastAsia="Batang"/>
              </w:rPr>
            </w:pPr>
            <w:r>
              <w:rPr>
                <w:rFonts w:eastAsia="Batang"/>
              </w:rPr>
              <w:t>2</w:t>
            </w:r>
          </w:p>
        </w:tc>
      </w:tr>
      <w:tr w:rsidR="00CB65DE" w:rsidRPr="00A90858" w14:paraId="6F484B88" w14:textId="77777777" w:rsidTr="00FB776C">
        <w:trPr>
          <w:jc w:val="center"/>
        </w:trPr>
        <w:tc>
          <w:tcPr>
            <w:tcW w:w="846" w:type="dxa"/>
          </w:tcPr>
          <w:p w14:paraId="2E78417E" w14:textId="77777777" w:rsidR="00CB65DE" w:rsidRDefault="00CB65DE" w:rsidP="00FB776C">
            <w:pPr>
              <w:pStyle w:val="TAC"/>
              <w:rPr>
                <w:rFonts w:eastAsia="Batang"/>
              </w:rPr>
            </w:pPr>
            <w:r>
              <w:rPr>
                <w:rFonts w:eastAsia="Batang"/>
              </w:rPr>
              <w:t>3</w:t>
            </w:r>
          </w:p>
        </w:tc>
        <w:tc>
          <w:tcPr>
            <w:tcW w:w="850" w:type="dxa"/>
          </w:tcPr>
          <w:p w14:paraId="56755B9C" w14:textId="31A69E0C" w:rsidR="00CB65DE" w:rsidRDefault="00CB65DE" w:rsidP="00FB776C">
            <w:pPr>
              <w:pStyle w:val="TAC"/>
              <w:rPr>
                <w:rFonts w:eastAsia="Batang"/>
              </w:rPr>
            </w:pPr>
            <w:r>
              <w:rPr>
                <w:rFonts w:eastAsia="Batang"/>
              </w:rPr>
              <w:t>2</w:t>
            </w:r>
          </w:p>
        </w:tc>
      </w:tr>
    </w:tbl>
    <w:p w14:paraId="4E3FF917" w14:textId="77777777" w:rsidR="00C5668B" w:rsidRPr="0015001F" w:rsidRDefault="00C5668B" w:rsidP="00C5668B">
      <w:pPr>
        <w:rPr>
          <w:color w:val="FFC000"/>
        </w:rPr>
      </w:pPr>
      <w:r w:rsidRPr="0015001F">
        <w:rPr>
          <w:color w:val="FFC000"/>
        </w:rPr>
        <w:t>--Unchanged part omitted------------------------</w:t>
      </w:r>
    </w:p>
    <w:p w14:paraId="5C3954D7" w14:textId="70B6CF24" w:rsidR="006146BD" w:rsidRPr="00166678" w:rsidRDefault="008E61FC" w:rsidP="00166678">
      <w:pPr>
        <w:rPr>
          <w:lang w:val="en-GB"/>
        </w:rPr>
      </w:pPr>
      <w:r w:rsidRPr="00682FCB">
        <w:t>=====================================================================</w:t>
      </w:r>
      <w:r>
        <w:t>==</w:t>
      </w:r>
    </w:p>
    <w:sectPr w:rsidR="006146BD" w:rsidRPr="00166678" w:rsidSect="0001335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13BF2" w14:textId="77777777" w:rsidR="00305F50" w:rsidRDefault="00305F50">
      <w:r>
        <w:separator/>
      </w:r>
    </w:p>
  </w:endnote>
  <w:endnote w:type="continuationSeparator" w:id="0">
    <w:p w14:paraId="7AE55351" w14:textId="77777777" w:rsidR="00305F50" w:rsidRDefault="00305F50">
      <w:r>
        <w:continuationSeparator/>
      </w:r>
    </w:p>
  </w:endnote>
  <w:endnote w:type="continuationNotice" w:id="1">
    <w:p w14:paraId="659A6D95" w14:textId="77777777" w:rsidR="00305F50" w:rsidRDefault="00305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6B79" w14:textId="77777777" w:rsidR="00305F50" w:rsidRDefault="00305F50">
      <w:r>
        <w:separator/>
      </w:r>
    </w:p>
  </w:footnote>
  <w:footnote w:type="continuationSeparator" w:id="0">
    <w:p w14:paraId="189742E7" w14:textId="77777777" w:rsidR="00305F50" w:rsidRDefault="00305F50">
      <w:r>
        <w:continuationSeparator/>
      </w:r>
    </w:p>
  </w:footnote>
  <w:footnote w:type="continuationNotice" w:id="1">
    <w:p w14:paraId="3B8F9F30" w14:textId="77777777" w:rsidR="00305F50" w:rsidRDefault="00305F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9760A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2BC"/>
    <w:multiLevelType w:val="hybridMultilevel"/>
    <w:tmpl w:val="A92CA5C8"/>
    <w:lvl w:ilvl="0" w:tplc="56A8F0F4">
      <w:start w:val="1"/>
      <w:numFmt w:val="bullet"/>
      <w:lvlText w:val=""/>
      <w:lvlJc w:val="left"/>
      <w:pPr>
        <w:tabs>
          <w:tab w:val="num" w:pos="720"/>
        </w:tabs>
        <w:ind w:left="720" w:hanging="360"/>
      </w:pPr>
      <w:rPr>
        <w:rFonts w:ascii="Symbol" w:hAnsi="Symbol" w:hint="default"/>
      </w:rPr>
    </w:lvl>
    <w:lvl w:ilvl="1" w:tplc="8670DD96">
      <w:numFmt w:val="none"/>
      <w:lvlText w:val=""/>
      <w:lvlJc w:val="left"/>
      <w:pPr>
        <w:tabs>
          <w:tab w:val="num" w:pos="360"/>
        </w:tabs>
      </w:pPr>
    </w:lvl>
    <w:lvl w:ilvl="2" w:tplc="78CEE170">
      <w:start w:val="1"/>
      <w:numFmt w:val="bullet"/>
      <w:lvlText w:val=""/>
      <w:lvlJc w:val="left"/>
      <w:pPr>
        <w:tabs>
          <w:tab w:val="num" w:pos="2160"/>
        </w:tabs>
        <w:ind w:left="2160" w:hanging="360"/>
      </w:pPr>
      <w:rPr>
        <w:rFonts w:ascii="Symbol" w:hAnsi="Symbol" w:hint="default"/>
      </w:rPr>
    </w:lvl>
    <w:lvl w:ilvl="3" w:tplc="15FA929E">
      <w:start w:val="1"/>
      <w:numFmt w:val="bullet"/>
      <w:lvlText w:val=""/>
      <w:lvlJc w:val="left"/>
      <w:pPr>
        <w:tabs>
          <w:tab w:val="num" w:pos="2880"/>
        </w:tabs>
        <w:ind w:left="2880" w:hanging="360"/>
      </w:pPr>
      <w:rPr>
        <w:rFonts w:ascii="Symbol" w:hAnsi="Symbol" w:hint="default"/>
      </w:rPr>
    </w:lvl>
    <w:lvl w:ilvl="4" w:tplc="2B1C57D4" w:tentative="1">
      <w:start w:val="1"/>
      <w:numFmt w:val="bullet"/>
      <w:lvlText w:val=""/>
      <w:lvlJc w:val="left"/>
      <w:pPr>
        <w:tabs>
          <w:tab w:val="num" w:pos="3600"/>
        </w:tabs>
        <w:ind w:left="3600" w:hanging="360"/>
      </w:pPr>
      <w:rPr>
        <w:rFonts w:ascii="Symbol" w:hAnsi="Symbol" w:hint="default"/>
      </w:rPr>
    </w:lvl>
    <w:lvl w:ilvl="5" w:tplc="CDDCE9DA" w:tentative="1">
      <w:start w:val="1"/>
      <w:numFmt w:val="bullet"/>
      <w:lvlText w:val=""/>
      <w:lvlJc w:val="left"/>
      <w:pPr>
        <w:tabs>
          <w:tab w:val="num" w:pos="4320"/>
        </w:tabs>
        <w:ind w:left="4320" w:hanging="360"/>
      </w:pPr>
      <w:rPr>
        <w:rFonts w:ascii="Symbol" w:hAnsi="Symbol" w:hint="default"/>
      </w:rPr>
    </w:lvl>
    <w:lvl w:ilvl="6" w:tplc="D39CC0EE" w:tentative="1">
      <w:start w:val="1"/>
      <w:numFmt w:val="bullet"/>
      <w:lvlText w:val=""/>
      <w:lvlJc w:val="left"/>
      <w:pPr>
        <w:tabs>
          <w:tab w:val="num" w:pos="5040"/>
        </w:tabs>
        <w:ind w:left="5040" w:hanging="360"/>
      </w:pPr>
      <w:rPr>
        <w:rFonts w:ascii="Symbol" w:hAnsi="Symbol" w:hint="default"/>
      </w:rPr>
    </w:lvl>
    <w:lvl w:ilvl="7" w:tplc="E0DE59DA" w:tentative="1">
      <w:start w:val="1"/>
      <w:numFmt w:val="bullet"/>
      <w:lvlText w:val=""/>
      <w:lvlJc w:val="left"/>
      <w:pPr>
        <w:tabs>
          <w:tab w:val="num" w:pos="5760"/>
        </w:tabs>
        <w:ind w:left="5760" w:hanging="360"/>
      </w:pPr>
      <w:rPr>
        <w:rFonts w:ascii="Symbol" w:hAnsi="Symbol" w:hint="default"/>
      </w:rPr>
    </w:lvl>
    <w:lvl w:ilvl="8" w:tplc="9334DF4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2797C"/>
    <w:multiLevelType w:val="hybridMultilevel"/>
    <w:tmpl w:val="C44A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EC1229C"/>
    <w:multiLevelType w:val="hybridMultilevel"/>
    <w:tmpl w:val="895E77CA"/>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CF774E5"/>
    <w:multiLevelType w:val="hybridMultilevel"/>
    <w:tmpl w:val="ABB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95CDF"/>
    <w:multiLevelType w:val="hybridMultilevel"/>
    <w:tmpl w:val="C1D0BB36"/>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01745F"/>
    <w:multiLevelType w:val="hybridMultilevel"/>
    <w:tmpl w:val="49D26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11295"/>
    <w:multiLevelType w:val="hybridMultilevel"/>
    <w:tmpl w:val="58B4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1" w15:restartNumberingAfterBreak="0">
    <w:nsid w:val="2F3416B7"/>
    <w:multiLevelType w:val="hybridMultilevel"/>
    <w:tmpl w:val="09E6099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F2A25"/>
    <w:multiLevelType w:val="hybridMultilevel"/>
    <w:tmpl w:val="73EA371A"/>
    <w:lvl w:ilvl="0" w:tplc="62EECC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5462E5"/>
    <w:multiLevelType w:val="hybridMultilevel"/>
    <w:tmpl w:val="577CC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E3C6C"/>
    <w:multiLevelType w:val="hybridMultilevel"/>
    <w:tmpl w:val="EF60CC34"/>
    <w:lvl w:ilvl="0" w:tplc="531272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D933FBD"/>
    <w:multiLevelType w:val="hybridMultilevel"/>
    <w:tmpl w:val="30465830"/>
    <w:lvl w:ilvl="0" w:tplc="E8AEE4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5047B1"/>
    <w:multiLevelType w:val="hybridMultilevel"/>
    <w:tmpl w:val="F350FED8"/>
    <w:lvl w:ilvl="0" w:tplc="1592D0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63C969D8"/>
    <w:multiLevelType w:val="hybridMultilevel"/>
    <w:tmpl w:val="3B50F52A"/>
    <w:lvl w:ilvl="0" w:tplc="497EF890">
      <w:start w:val="1"/>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65B638D0"/>
    <w:multiLevelType w:val="hybridMultilevel"/>
    <w:tmpl w:val="6408204C"/>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2" w15:restartNumberingAfterBreak="0">
    <w:nsid w:val="66453BE5"/>
    <w:multiLevelType w:val="hybridMultilevel"/>
    <w:tmpl w:val="0B563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42A6B"/>
    <w:multiLevelType w:val="hybridMultilevel"/>
    <w:tmpl w:val="1F8C8D4C"/>
    <w:lvl w:ilvl="0" w:tplc="1DD255B8">
      <w:start w:val="1"/>
      <w:numFmt w:val="bullet"/>
      <w:lvlText w:val="◦"/>
      <w:lvlJc w:val="left"/>
      <w:pPr>
        <w:tabs>
          <w:tab w:val="num" w:pos="720"/>
        </w:tabs>
        <w:ind w:left="720" w:hanging="360"/>
      </w:pPr>
      <w:rPr>
        <w:rFonts w:ascii="Microsoft Sans Serif" w:hAnsi="Microsoft Sans Serif" w:hint="default"/>
      </w:rPr>
    </w:lvl>
    <w:lvl w:ilvl="1" w:tplc="06E4CED6" w:tentative="1">
      <w:start w:val="1"/>
      <w:numFmt w:val="bullet"/>
      <w:lvlText w:val="◦"/>
      <w:lvlJc w:val="left"/>
      <w:pPr>
        <w:tabs>
          <w:tab w:val="num" w:pos="1440"/>
        </w:tabs>
        <w:ind w:left="1440" w:hanging="360"/>
      </w:pPr>
      <w:rPr>
        <w:rFonts w:ascii="Microsoft Sans Serif" w:hAnsi="Microsoft Sans Serif" w:hint="default"/>
      </w:rPr>
    </w:lvl>
    <w:lvl w:ilvl="2" w:tplc="A4C6DA96" w:tentative="1">
      <w:start w:val="1"/>
      <w:numFmt w:val="bullet"/>
      <w:lvlText w:val="◦"/>
      <w:lvlJc w:val="left"/>
      <w:pPr>
        <w:tabs>
          <w:tab w:val="num" w:pos="2160"/>
        </w:tabs>
        <w:ind w:left="2160" w:hanging="360"/>
      </w:pPr>
      <w:rPr>
        <w:rFonts w:ascii="Microsoft Sans Serif" w:hAnsi="Microsoft Sans Serif" w:hint="default"/>
      </w:rPr>
    </w:lvl>
    <w:lvl w:ilvl="3" w:tplc="3D8EC5D2">
      <w:start w:val="1"/>
      <w:numFmt w:val="bullet"/>
      <w:lvlText w:val="◦"/>
      <w:lvlJc w:val="left"/>
      <w:pPr>
        <w:tabs>
          <w:tab w:val="num" w:pos="2880"/>
        </w:tabs>
        <w:ind w:left="2880" w:hanging="360"/>
      </w:pPr>
      <w:rPr>
        <w:rFonts w:ascii="Microsoft Sans Serif" w:hAnsi="Microsoft Sans Serif" w:hint="default"/>
      </w:rPr>
    </w:lvl>
    <w:lvl w:ilvl="4" w:tplc="AABC661E" w:tentative="1">
      <w:start w:val="1"/>
      <w:numFmt w:val="bullet"/>
      <w:lvlText w:val="◦"/>
      <w:lvlJc w:val="left"/>
      <w:pPr>
        <w:tabs>
          <w:tab w:val="num" w:pos="3600"/>
        </w:tabs>
        <w:ind w:left="3600" w:hanging="360"/>
      </w:pPr>
      <w:rPr>
        <w:rFonts w:ascii="Microsoft Sans Serif" w:hAnsi="Microsoft Sans Serif" w:hint="default"/>
      </w:rPr>
    </w:lvl>
    <w:lvl w:ilvl="5" w:tplc="29529D8A" w:tentative="1">
      <w:start w:val="1"/>
      <w:numFmt w:val="bullet"/>
      <w:lvlText w:val="◦"/>
      <w:lvlJc w:val="left"/>
      <w:pPr>
        <w:tabs>
          <w:tab w:val="num" w:pos="4320"/>
        </w:tabs>
        <w:ind w:left="4320" w:hanging="360"/>
      </w:pPr>
      <w:rPr>
        <w:rFonts w:ascii="Microsoft Sans Serif" w:hAnsi="Microsoft Sans Serif" w:hint="default"/>
      </w:rPr>
    </w:lvl>
    <w:lvl w:ilvl="6" w:tplc="41D61FBC" w:tentative="1">
      <w:start w:val="1"/>
      <w:numFmt w:val="bullet"/>
      <w:lvlText w:val="◦"/>
      <w:lvlJc w:val="left"/>
      <w:pPr>
        <w:tabs>
          <w:tab w:val="num" w:pos="5040"/>
        </w:tabs>
        <w:ind w:left="5040" w:hanging="360"/>
      </w:pPr>
      <w:rPr>
        <w:rFonts w:ascii="Microsoft Sans Serif" w:hAnsi="Microsoft Sans Serif" w:hint="default"/>
      </w:rPr>
    </w:lvl>
    <w:lvl w:ilvl="7" w:tplc="C0FE74CC" w:tentative="1">
      <w:start w:val="1"/>
      <w:numFmt w:val="bullet"/>
      <w:lvlText w:val="◦"/>
      <w:lvlJc w:val="left"/>
      <w:pPr>
        <w:tabs>
          <w:tab w:val="num" w:pos="5760"/>
        </w:tabs>
        <w:ind w:left="5760" w:hanging="360"/>
      </w:pPr>
      <w:rPr>
        <w:rFonts w:ascii="Microsoft Sans Serif" w:hAnsi="Microsoft Sans Serif" w:hint="default"/>
      </w:rPr>
    </w:lvl>
    <w:lvl w:ilvl="8" w:tplc="1584AF9C"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68892CBE"/>
    <w:multiLevelType w:val="hybridMultilevel"/>
    <w:tmpl w:val="2D70A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5"/>
  </w:num>
  <w:num w:numId="4">
    <w:abstractNumId w:val="25"/>
  </w:num>
  <w:num w:numId="5">
    <w:abstractNumId w:val="45"/>
  </w:num>
  <w:num w:numId="6">
    <w:abstractNumId w:val="46"/>
  </w:num>
  <w:num w:numId="7">
    <w:abstractNumId w:val="48"/>
  </w:num>
  <w:num w:numId="8">
    <w:abstractNumId w:val="39"/>
  </w:num>
  <w:num w:numId="9">
    <w:abstractNumId w:val="15"/>
  </w:num>
  <w:num w:numId="10">
    <w:abstractNumId w:val="26"/>
  </w:num>
  <w:num w:numId="11">
    <w:abstractNumId w:val="9"/>
  </w:num>
  <w:num w:numId="12">
    <w:abstractNumId w:val="47"/>
  </w:num>
  <w:num w:numId="13">
    <w:abstractNumId w:val="3"/>
  </w:num>
  <w:num w:numId="14">
    <w:abstractNumId w:val="33"/>
  </w:num>
  <w:num w:numId="15">
    <w:abstractNumId w:val="35"/>
  </w:num>
  <w:num w:numId="16">
    <w:abstractNumId w:val="22"/>
  </w:num>
  <w:num w:numId="17">
    <w:abstractNumId w:val="38"/>
  </w:num>
  <w:num w:numId="18">
    <w:abstractNumId w:val="11"/>
  </w:num>
  <w:num w:numId="19">
    <w:abstractNumId w:val="20"/>
  </w:num>
  <w:num w:numId="20">
    <w:abstractNumId w:val="21"/>
  </w:num>
  <w:num w:numId="21">
    <w:abstractNumId w:val="8"/>
  </w:num>
  <w:num w:numId="22">
    <w:abstractNumId w:val="34"/>
  </w:num>
  <w:num w:numId="23">
    <w:abstractNumId w:val="40"/>
  </w:num>
  <w:num w:numId="24">
    <w:abstractNumId w:val="13"/>
  </w:num>
  <w:num w:numId="25">
    <w:abstractNumId w:val="27"/>
  </w:num>
  <w:num w:numId="26">
    <w:abstractNumId w:val="7"/>
  </w:num>
  <w:num w:numId="27">
    <w:abstractNumId w:val="1"/>
  </w:num>
  <w:num w:numId="28">
    <w:abstractNumId w:val="32"/>
  </w:num>
  <w:num w:numId="29">
    <w:abstractNumId w:val="17"/>
  </w:num>
  <w:num w:numId="30">
    <w:abstractNumId w:val="42"/>
  </w:num>
  <w:num w:numId="31">
    <w:abstractNumId w:val="44"/>
  </w:num>
  <w:num w:numId="32">
    <w:abstractNumId w:val="23"/>
  </w:num>
  <w:num w:numId="33">
    <w:abstractNumId w:val="6"/>
  </w:num>
  <w:num w:numId="34">
    <w:abstractNumId w:val="12"/>
  </w:num>
  <w:num w:numId="35">
    <w:abstractNumId w:val="43"/>
  </w:num>
  <w:num w:numId="36">
    <w:abstractNumId w:val="4"/>
  </w:num>
  <w:num w:numId="37">
    <w:abstractNumId w:val="10"/>
  </w:num>
  <w:num w:numId="38">
    <w:abstractNumId w:val="49"/>
  </w:num>
  <w:num w:numId="39">
    <w:abstractNumId w:val="29"/>
  </w:num>
  <w:num w:numId="40">
    <w:abstractNumId w:val="2"/>
  </w:num>
  <w:num w:numId="41">
    <w:abstractNumId w:val="36"/>
  </w:num>
  <w:num w:numId="42">
    <w:abstractNumId w:val="16"/>
  </w:num>
  <w:num w:numId="43">
    <w:abstractNumId w:val="18"/>
  </w:num>
  <w:num w:numId="44">
    <w:abstractNumId w:val="30"/>
  </w:num>
  <w:num w:numId="45">
    <w:abstractNumId w:val="37"/>
  </w:num>
  <w:num w:numId="46">
    <w:abstractNumId w:val="41"/>
  </w:num>
  <w:num w:numId="47">
    <w:abstractNumId w:val="14"/>
  </w:num>
  <w:num w:numId="48">
    <w:abstractNumId w:val="28"/>
  </w:num>
  <w:num w:numId="49">
    <w:abstractNumId w:val="24"/>
  </w:num>
  <w:num w:numId="5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F37"/>
    <w:rsid w:val="000B4788"/>
    <w:rsid w:val="000B48A6"/>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2DAD"/>
    <w:rsid w:val="000E3075"/>
    <w:rsid w:val="000E331F"/>
    <w:rsid w:val="000E3358"/>
    <w:rsid w:val="000E3456"/>
    <w:rsid w:val="000E37C8"/>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59"/>
    <w:rsid w:val="00175A6E"/>
    <w:rsid w:val="00175B5A"/>
    <w:rsid w:val="00175EF2"/>
    <w:rsid w:val="00176078"/>
    <w:rsid w:val="001760B4"/>
    <w:rsid w:val="001763FF"/>
    <w:rsid w:val="00176414"/>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EE7"/>
    <w:rsid w:val="001D6F30"/>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913"/>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659"/>
    <w:rsid w:val="00357712"/>
    <w:rsid w:val="00357CA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A66"/>
    <w:rsid w:val="00416F3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9BA"/>
    <w:rsid w:val="00445CFF"/>
    <w:rsid w:val="00445EAE"/>
    <w:rsid w:val="00445EBA"/>
    <w:rsid w:val="00445EBF"/>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090"/>
    <w:rsid w:val="004B0164"/>
    <w:rsid w:val="004B01EA"/>
    <w:rsid w:val="004B0706"/>
    <w:rsid w:val="004B0780"/>
    <w:rsid w:val="004B0787"/>
    <w:rsid w:val="004B1313"/>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9F5"/>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294"/>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75E7"/>
    <w:rsid w:val="00787736"/>
    <w:rsid w:val="007878DA"/>
    <w:rsid w:val="00787A55"/>
    <w:rsid w:val="00787F1C"/>
    <w:rsid w:val="00787FF1"/>
    <w:rsid w:val="007904E7"/>
    <w:rsid w:val="0079050E"/>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AE5"/>
    <w:rsid w:val="008F6CD1"/>
    <w:rsid w:val="008F6DB2"/>
    <w:rsid w:val="008F6FBB"/>
    <w:rsid w:val="008F7091"/>
    <w:rsid w:val="008F724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23A"/>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CED"/>
    <w:rsid w:val="00D83F09"/>
    <w:rsid w:val="00D8403D"/>
    <w:rsid w:val="00D84268"/>
    <w:rsid w:val="00D84278"/>
    <w:rsid w:val="00D8445B"/>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HR33RHYHUWRF-4-16799</_dlc_DocId>
    <_dlc_DocIdUrl xmlns="c06861ca-3f08-4d07-bff7-bb15bac121f4">
      <Url>https://projects.qualcomm.com/sites/pentari/_layouts/15/DocIdRedir.aspx?ID=HR33RHYHUWRF-4-16799</Url>
      <Description>HR33RHYHUWRF-4-16799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00CE5F2-AB0D-41E0-B65F-51D8D674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1844</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#101-e</dc:title>
  <dc:subject/>
  <dc:creator>Qualcomm Inc.</dc:creator>
  <cp:keywords/>
  <cp:lastModifiedBy>Wooseok Nam</cp:lastModifiedBy>
  <cp:revision>38</cp:revision>
  <cp:lastPrinted>2020-02-14T19:36:00Z</cp:lastPrinted>
  <dcterms:created xsi:type="dcterms:W3CDTF">2020-05-16T01:31:00Z</dcterms:created>
  <dcterms:modified xsi:type="dcterms:W3CDTF">2020-05-16T03:04:00Z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120a9739-53ba-4513-81d9-a801bf422fd9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